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C1" w:rsidRDefault="00EE79C1">
      <w:pPr>
        <w:pStyle w:val="CM1"/>
        <w:jc w:val="center"/>
        <w:rPr>
          <w:b/>
          <w:bCs/>
          <w:color w:val="000000"/>
          <w:sz w:val="23"/>
        </w:rPr>
      </w:pPr>
    </w:p>
    <w:p w:rsidR="00884254" w:rsidRDefault="00884254" w:rsidP="00884254">
      <w:pPr>
        <w:pStyle w:val="Default"/>
      </w:pPr>
    </w:p>
    <w:p w:rsidR="00884254" w:rsidRPr="00884254" w:rsidRDefault="000A56BF" w:rsidP="00CD3FE0">
      <w:pPr>
        <w:pStyle w:val="Defaul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97.2pt">
            <v:imagedata r:id="rId7" o:title="Asia_Pacific_College_Logo"/>
          </v:shape>
        </w:pict>
      </w:r>
    </w:p>
    <w:p w:rsidR="001A2AA3" w:rsidRPr="001A2AA3" w:rsidRDefault="001A2AA3" w:rsidP="001A2AA3">
      <w:pPr>
        <w:pStyle w:val="Default"/>
      </w:pPr>
    </w:p>
    <w:p w:rsidR="001A2AA3" w:rsidRDefault="001A2AA3" w:rsidP="00B372F9">
      <w:pPr>
        <w:pStyle w:val="CM1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ASIA PACIFIC COLLEGE</w:t>
      </w:r>
    </w:p>
    <w:p w:rsidR="00EE79C1" w:rsidRPr="00F442D9" w:rsidRDefault="001A2AA3" w:rsidP="00B372F9">
      <w:pPr>
        <w:pStyle w:val="CM1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School of Accountancy and Business</w:t>
      </w:r>
    </w:p>
    <w:p w:rsidR="00F561FA" w:rsidRDefault="00EE79C1" w:rsidP="00EE79C1">
      <w:pPr>
        <w:pStyle w:val="Default"/>
        <w:jc w:val="center"/>
      </w:pPr>
      <w:r w:rsidRPr="00B90EE6">
        <w:t>Graduate Program</w:t>
      </w:r>
    </w:p>
    <w:p w:rsidR="001A2AA3" w:rsidRPr="00B90EE6" w:rsidRDefault="001A2AA3" w:rsidP="00EE79C1">
      <w:pPr>
        <w:pStyle w:val="Default"/>
        <w:jc w:val="center"/>
      </w:pPr>
    </w:p>
    <w:p w:rsidR="001A2AA3" w:rsidRDefault="001A2AA3">
      <w:pPr>
        <w:pStyle w:val="CM1"/>
        <w:jc w:val="center"/>
        <w:rPr>
          <w:b/>
          <w:color w:val="000000"/>
        </w:rPr>
      </w:pPr>
      <w:r>
        <w:rPr>
          <w:b/>
          <w:color w:val="000000"/>
        </w:rPr>
        <w:t>Master in Management</w:t>
      </w:r>
    </w:p>
    <w:p w:rsidR="00F561FA" w:rsidRDefault="001A2AA3">
      <w:pPr>
        <w:pStyle w:val="CM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with</w:t>
      </w:r>
      <w:proofErr w:type="gramEnd"/>
      <w:r>
        <w:rPr>
          <w:b/>
          <w:color w:val="000000"/>
        </w:rPr>
        <w:t xml:space="preserve"> specialization in Business Analytics</w:t>
      </w:r>
    </w:p>
    <w:p w:rsidR="001A2AA3" w:rsidRPr="001A2AA3" w:rsidRDefault="001A2AA3" w:rsidP="00FC2B9F">
      <w:pPr>
        <w:pStyle w:val="Default"/>
        <w:jc w:val="center"/>
      </w:pPr>
    </w:p>
    <w:p w:rsidR="004E375C" w:rsidRDefault="00B90EE6" w:rsidP="004E375C">
      <w:pPr>
        <w:pStyle w:val="CM2"/>
        <w:jc w:val="center"/>
        <w:rPr>
          <w:b/>
          <w:color w:val="000000"/>
        </w:rPr>
      </w:pPr>
      <w:r>
        <w:rPr>
          <w:b/>
          <w:color w:val="000000"/>
        </w:rPr>
        <w:t>COURSE SYLLABUS</w:t>
      </w:r>
    </w:p>
    <w:p w:rsidR="00B90EE6" w:rsidRPr="00B90EE6" w:rsidRDefault="00B90EE6" w:rsidP="00FC2B9F">
      <w:pPr>
        <w:pStyle w:val="Default"/>
        <w:jc w:val="center"/>
      </w:pPr>
    </w:p>
    <w:p w:rsidR="004E375C" w:rsidRPr="004E375C" w:rsidRDefault="004E375C" w:rsidP="004E375C">
      <w:pPr>
        <w:pStyle w:val="CM2"/>
        <w:jc w:val="center"/>
      </w:pPr>
      <w:r>
        <w:rPr>
          <w:b/>
          <w:color w:val="000000"/>
        </w:rPr>
        <w:t>Code</w:t>
      </w:r>
    </w:p>
    <w:p w:rsidR="004E375C" w:rsidRPr="00B90EE6" w:rsidRDefault="00F561FA">
      <w:pPr>
        <w:pStyle w:val="CM2"/>
        <w:jc w:val="center"/>
        <w:rPr>
          <w:bCs/>
          <w:color w:val="000000"/>
        </w:rPr>
      </w:pPr>
      <w:proofErr w:type="spellStart"/>
      <w:r w:rsidRPr="00B90EE6">
        <w:rPr>
          <w:bCs/>
          <w:color w:val="000000"/>
        </w:rPr>
        <w:t>M</w:t>
      </w:r>
      <w:r w:rsidR="00E073F2">
        <w:rPr>
          <w:bCs/>
          <w:color w:val="000000"/>
        </w:rPr>
        <w:t>mm</w:t>
      </w:r>
      <w:r w:rsidR="00C11603">
        <w:rPr>
          <w:bCs/>
          <w:color w:val="000000"/>
        </w:rPr>
        <w:t>a</w:t>
      </w:r>
      <w:r w:rsidR="00261B1D">
        <w:rPr>
          <w:bCs/>
          <w:color w:val="000000"/>
        </w:rPr>
        <w:t>nac</w:t>
      </w:r>
      <w:proofErr w:type="spellEnd"/>
    </w:p>
    <w:p w:rsidR="004E375C" w:rsidRDefault="004E375C">
      <w:pPr>
        <w:pStyle w:val="CM2"/>
        <w:jc w:val="center"/>
        <w:rPr>
          <w:b/>
          <w:bCs/>
          <w:color w:val="000000"/>
        </w:rPr>
      </w:pPr>
    </w:p>
    <w:p w:rsidR="004E375C" w:rsidRDefault="004E375C">
      <w:pPr>
        <w:pStyle w:val="CM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Title</w:t>
      </w:r>
    </w:p>
    <w:p w:rsidR="004E375C" w:rsidRPr="00B90EE6" w:rsidRDefault="00C11603">
      <w:pPr>
        <w:pStyle w:val="CM2"/>
        <w:jc w:val="center"/>
        <w:rPr>
          <w:bCs/>
          <w:color w:val="000000"/>
        </w:rPr>
      </w:pPr>
      <w:r>
        <w:rPr>
          <w:bCs/>
          <w:color w:val="000000"/>
        </w:rPr>
        <w:t>Manage</w:t>
      </w:r>
      <w:r w:rsidR="00565EA8">
        <w:rPr>
          <w:bCs/>
          <w:color w:val="000000"/>
        </w:rPr>
        <w:t>ment</w:t>
      </w:r>
      <w:r>
        <w:rPr>
          <w:bCs/>
          <w:color w:val="000000"/>
        </w:rPr>
        <w:t xml:space="preserve"> </w:t>
      </w:r>
      <w:r w:rsidR="00261B1D">
        <w:rPr>
          <w:bCs/>
          <w:color w:val="000000"/>
        </w:rPr>
        <w:t>Accounting</w:t>
      </w:r>
    </w:p>
    <w:p w:rsidR="004E375C" w:rsidRDefault="004E375C">
      <w:pPr>
        <w:pStyle w:val="CM2"/>
        <w:jc w:val="center"/>
        <w:rPr>
          <w:b/>
          <w:bCs/>
          <w:color w:val="000000"/>
        </w:rPr>
      </w:pPr>
    </w:p>
    <w:p w:rsidR="004E375C" w:rsidRDefault="004E375C">
      <w:pPr>
        <w:pStyle w:val="CM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Credit Units</w:t>
      </w:r>
    </w:p>
    <w:p w:rsidR="004E375C" w:rsidRPr="00B90EE6" w:rsidRDefault="004E375C">
      <w:pPr>
        <w:pStyle w:val="CM2"/>
        <w:jc w:val="center"/>
        <w:rPr>
          <w:bCs/>
          <w:color w:val="000000"/>
        </w:rPr>
      </w:pPr>
      <w:r w:rsidRPr="00B90EE6">
        <w:rPr>
          <w:bCs/>
          <w:color w:val="000000"/>
        </w:rPr>
        <w:t>3</w:t>
      </w:r>
      <w:r w:rsidR="00F666AB">
        <w:rPr>
          <w:bCs/>
          <w:color w:val="000000"/>
        </w:rPr>
        <w:t>.0</w:t>
      </w:r>
    </w:p>
    <w:p w:rsidR="004E375C" w:rsidRDefault="004E375C">
      <w:pPr>
        <w:pStyle w:val="CM2"/>
        <w:jc w:val="center"/>
        <w:rPr>
          <w:b/>
          <w:bCs/>
          <w:color w:val="000000"/>
        </w:rPr>
      </w:pPr>
    </w:p>
    <w:p w:rsidR="00B90EE6" w:rsidRDefault="00B90EE6">
      <w:pPr>
        <w:pStyle w:val="CM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Description</w:t>
      </w:r>
    </w:p>
    <w:p w:rsidR="00B90EE6" w:rsidRPr="00593A22" w:rsidRDefault="00A41892" w:rsidP="00724177">
      <w:pPr>
        <w:pStyle w:val="Quote"/>
        <w:rPr>
          <w:rStyle w:val="apple-style-span"/>
          <w:rFonts w:ascii="Times New Roman" w:hAnsi="Times New Roman"/>
          <w:i w:val="0"/>
        </w:rPr>
      </w:pPr>
      <w:r w:rsidRPr="00593A22">
        <w:rPr>
          <w:rStyle w:val="apple-style-span"/>
          <w:rFonts w:ascii="Times New Roman" w:hAnsi="Times New Roman"/>
          <w:i w:val="0"/>
        </w:rPr>
        <w:t>M</w:t>
      </w:r>
      <w:r w:rsidR="00593A22" w:rsidRPr="00593A22">
        <w:rPr>
          <w:rFonts w:ascii="Times New Roman" w:hAnsi="Times New Roman"/>
          <w:bCs/>
          <w:i w:val="0"/>
        </w:rPr>
        <w:t>anagement Accounting</w:t>
      </w:r>
      <w:r w:rsidR="00593A22" w:rsidRPr="00593A22">
        <w:rPr>
          <w:rFonts w:ascii="Times New Roman" w:hAnsi="Times New Roman"/>
          <w:i w:val="0"/>
        </w:rPr>
        <w:t> is concerned with the provisions and use of </w:t>
      </w:r>
      <w:hyperlink r:id="rId8" w:tooltip="Accounting" w:history="1">
        <w:r w:rsidR="00593A22" w:rsidRPr="00593A22">
          <w:rPr>
            <w:rFonts w:ascii="Times New Roman" w:hAnsi="Times New Roman"/>
            <w:i w:val="0"/>
          </w:rPr>
          <w:t>accounting</w:t>
        </w:r>
      </w:hyperlink>
      <w:r w:rsidR="00593A22" w:rsidRPr="00593A22">
        <w:rPr>
          <w:rFonts w:ascii="Times New Roman" w:hAnsi="Times New Roman"/>
          <w:i w:val="0"/>
        </w:rPr>
        <w:t> information to managers within organizations, to provide them with the basis to make informed business</w:t>
      </w:r>
      <w:r w:rsidR="00593A22">
        <w:rPr>
          <w:rFonts w:ascii="Times New Roman" w:hAnsi="Times New Roman"/>
          <w:i w:val="0"/>
        </w:rPr>
        <w:t xml:space="preserve"> </w:t>
      </w:r>
      <w:r w:rsidR="00593A22" w:rsidRPr="00593A22">
        <w:rPr>
          <w:rFonts w:ascii="Times New Roman" w:hAnsi="Times New Roman"/>
          <w:i w:val="0"/>
        </w:rPr>
        <w:t>decisions that will allow them to be better equipped in their management and control functions.</w:t>
      </w:r>
      <w:r w:rsidR="00593A22">
        <w:rPr>
          <w:rFonts w:ascii="Times New Roman" w:hAnsi="Times New Roman"/>
          <w:i w:val="0"/>
        </w:rPr>
        <w:t xml:space="preserve"> </w:t>
      </w:r>
      <w:r w:rsidR="00593A22" w:rsidRPr="00593A22">
        <w:rPr>
          <w:rFonts w:ascii="Times New Roman" w:hAnsi="Times New Roman"/>
          <w:i w:val="0"/>
        </w:rPr>
        <w:t xml:space="preserve">This course involves </w:t>
      </w:r>
      <w:r w:rsidR="00593A22" w:rsidRPr="00593A22">
        <w:rPr>
          <w:rStyle w:val="apple-style-span"/>
          <w:rFonts w:ascii="Times New Roman" w:hAnsi="Times New Roman"/>
          <w:i w:val="0"/>
        </w:rPr>
        <w:t>the process of identification, measurement, accumulation, analysis,</w:t>
      </w:r>
      <w:r w:rsidR="00593A22">
        <w:rPr>
          <w:rStyle w:val="apple-style-span"/>
          <w:rFonts w:ascii="Times New Roman" w:hAnsi="Times New Roman"/>
          <w:i w:val="0"/>
        </w:rPr>
        <w:t xml:space="preserve"> </w:t>
      </w:r>
      <w:r w:rsidR="00593A22" w:rsidRPr="00593A22">
        <w:rPr>
          <w:rStyle w:val="apple-style-span"/>
          <w:rFonts w:ascii="Times New Roman" w:hAnsi="Times New Roman"/>
          <w:i w:val="0"/>
        </w:rPr>
        <w:t>preparation, interpretation, and communication of information used by management to plan,</w:t>
      </w:r>
      <w:r w:rsidR="00593A22">
        <w:rPr>
          <w:rStyle w:val="apple-style-span"/>
          <w:rFonts w:ascii="Times New Roman" w:hAnsi="Times New Roman"/>
          <w:i w:val="0"/>
        </w:rPr>
        <w:t xml:space="preserve"> </w:t>
      </w:r>
      <w:r w:rsidR="00593A22" w:rsidRPr="00593A22">
        <w:rPr>
          <w:rStyle w:val="apple-style-span"/>
          <w:rFonts w:ascii="Times New Roman" w:hAnsi="Times New Roman"/>
          <w:i w:val="0"/>
        </w:rPr>
        <w:t>evaluate, and control within an entity and to assure appropriate use and accountability for its</w:t>
      </w:r>
      <w:r w:rsidR="00593A22">
        <w:rPr>
          <w:rStyle w:val="apple-style-span"/>
          <w:rFonts w:ascii="Times New Roman" w:hAnsi="Times New Roman"/>
          <w:i w:val="0"/>
        </w:rPr>
        <w:t xml:space="preserve"> </w:t>
      </w:r>
      <w:r w:rsidR="00593A22" w:rsidRPr="00593A22">
        <w:rPr>
          <w:rStyle w:val="apple-style-span"/>
          <w:rFonts w:ascii="Times New Roman" w:hAnsi="Times New Roman"/>
          <w:i w:val="0"/>
        </w:rPr>
        <w:t>resources.</w:t>
      </w:r>
      <w:r w:rsidR="008D1F4E" w:rsidRPr="00593A22">
        <w:rPr>
          <w:rStyle w:val="apple-style-span"/>
          <w:rFonts w:ascii="Times New Roman" w:hAnsi="Times New Roman"/>
          <w:i w:val="0"/>
        </w:rPr>
        <w:t xml:space="preserve"> </w:t>
      </w:r>
    </w:p>
    <w:p w:rsidR="00A41892" w:rsidRPr="00A41892" w:rsidRDefault="00A41892" w:rsidP="00A41892"/>
    <w:p w:rsidR="00B90EE6" w:rsidRDefault="00B90EE6" w:rsidP="00B90EE6">
      <w:pPr>
        <w:pStyle w:val="CM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Objective</w:t>
      </w:r>
    </w:p>
    <w:p w:rsidR="008843AF" w:rsidRPr="00DA7555" w:rsidRDefault="008843AF" w:rsidP="00DA7555">
      <w:pPr>
        <w:rPr>
          <w:rFonts w:ascii="Times New Roman" w:hAnsi="Times New Roman"/>
        </w:rPr>
      </w:pPr>
      <w:r w:rsidRPr="00DA7555">
        <w:rPr>
          <w:rFonts w:ascii="Times New Roman" w:hAnsi="Times New Roman"/>
        </w:rPr>
        <w:t xml:space="preserve">At the end of the course, the student must have </w:t>
      </w:r>
      <w:r w:rsidR="00DA7555">
        <w:rPr>
          <w:rFonts w:ascii="Times New Roman" w:hAnsi="Times New Roman"/>
        </w:rPr>
        <w:t xml:space="preserve">recognized </w:t>
      </w:r>
      <w:r w:rsidR="00DA7555" w:rsidRPr="00DA7555">
        <w:rPr>
          <w:rFonts w:ascii="Times New Roman" w:hAnsi="Times New Roman"/>
        </w:rPr>
        <w:t>the role of management account</w:t>
      </w:r>
      <w:r w:rsidR="00DA7555">
        <w:rPr>
          <w:rFonts w:ascii="Times New Roman" w:hAnsi="Times New Roman"/>
        </w:rPr>
        <w:t>ing</w:t>
      </w:r>
      <w:r w:rsidR="00DA7555" w:rsidRPr="00DA7555">
        <w:rPr>
          <w:rFonts w:ascii="Times New Roman" w:hAnsi="Times New Roman"/>
        </w:rPr>
        <w:t xml:space="preserve"> as a strategic part in the organization</w:t>
      </w:r>
      <w:r w:rsidR="00DA7555">
        <w:rPr>
          <w:rFonts w:ascii="Times New Roman" w:hAnsi="Times New Roman"/>
        </w:rPr>
        <w:t>, de</w:t>
      </w:r>
      <w:r w:rsidR="00DA7555" w:rsidRPr="00DA7555">
        <w:rPr>
          <w:rFonts w:ascii="Times New Roman" w:hAnsi="Times New Roman"/>
        </w:rPr>
        <w:t>velop</w:t>
      </w:r>
      <w:r w:rsidR="00DA7555">
        <w:rPr>
          <w:rFonts w:ascii="Times New Roman" w:hAnsi="Times New Roman"/>
        </w:rPr>
        <w:t>ed</w:t>
      </w:r>
      <w:r w:rsidR="00DA7555" w:rsidRPr="00DA7555">
        <w:rPr>
          <w:rFonts w:ascii="Times New Roman" w:hAnsi="Times New Roman"/>
        </w:rPr>
        <w:t xml:space="preserve"> the practice of business decision-making and managing the performance of the organization</w:t>
      </w:r>
      <w:r w:rsidR="00DA7555">
        <w:rPr>
          <w:rFonts w:ascii="Times New Roman" w:hAnsi="Times New Roman"/>
        </w:rPr>
        <w:t>, co</w:t>
      </w:r>
      <w:r w:rsidR="00DA7555" w:rsidRPr="00DA7555">
        <w:rPr>
          <w:rFonts w:ascii="Times New Roman" w:hAnsi="Times New Roman"/>
        </w:rPr>
        <w:t>ntribut</w:t>
      </w:r>
      <w:r w:rsidR="00DA7555">
        <w:rPr>
          <w:rFonts w:ascii="Times New Roman" w:hAnsi="Times New Roman"/>
        </w:rPr>
        <w:t>ed</w:t>
      </w:r>
      <w:r w:rsidR="00DA7555" w:rsidRPr="00DA7555">
        <w:rPr>
          <w:rFonts w:ascii="Times New Roman" w:hAnsi="Times New Roman"/>
        </w:rPr>
        <w:t xml:space="preserve"> to frameworks and practices for identifying, measuring, managing and reporting risks to the achievement of the objectives of the organization.</w:t>
      </w:r>
      <w:r w:rsidR="00DA7555">
        <w:rPr>
          <w:rFonts w:ascii="Times New Roman" w:hAnsi="Times New Roman"/>
        </w:rPr>
        <w:t xml:space="preserve"> </w:t>
      </w:r>
      <w:r w:rsidR="00DA7555" w:rsidRPr="00DA7555">
        <w:rPr>
          <w:rFonts w:ascii="Times New Roman" w:hAnsi="Times New Roman"/>
        </w:rPr>
        <w:t xml:space="preserve">The </w:t>
      </w:r>
      <w:r w:rsidR="00DA7555">
        <w:rPr>
          <w:rFonts w:ascii="Times New Roman" w:hAnsi="Times New Roman"/>
        </w:rPr>
        <w:t>student must have presented practical applications in</w:t>
      </w:r>
      <w:r w:rsidR="00DA7555" w:rsidRPr="00DA7555">
        <w:rPr>
          <w:rFonts w:ascii="Times New Roman" w:hAnsi="Times New Roman"/>
        </w:rPr>
        <w:t xml:space="preserve"> forecasting and planning, performing variance analysis, </w:t>
      </w:r>
      <w:r w:rsidR="00DA7555">
        <w:rPr>
          <w:rFonts w:ascii="Times New Roman" w:hAnsi="Times New Roman"/>
        </w:rPr>
        <w:t xml:space="preserve">and </w:t>
      </w:r>
      <w:r w:rsidR="00DA7555" w:rsidRPr="00DA7555">
        <w:rPr>
          <w:rFonts w:ascii="Times New Roman" w:hAnsi="Times New Roman"/>
        </w:rPr>
        <w:t>reviewing</w:t>
      </w:r>
      <w:r w:rsidR="00DA7555">
        <w:rPr>
          <w:rFonts w:ascii="Times New Roman" w:hAnsi="Times New Roman"/>
        </w:rPr>
        <w:t>/</w:t>
      </w:r>
      <w:r w:rsidR="00DA7555" w:rsidRPr="00DA7555">
        <w:rPr>
          <w:rFonts w:ascii="Times New Roman" w:hAnsi="Times New Roman"/>
        </w:rPr>
        <w:t xml:space="preserve">monitoring costs inherent in the business </w:t>
      </w:r>
      <w:r w:rsidR="00DA7555">
        <w:rPr>
          <w:rFonts w:ascii="Times New Roman" w:hAnsi="Times New Roman"/>
        </w:rPr>
        <w:t xml:space="preserve">which </w:t>
      </w:r>
      <w:r w:rsidR="00DA7555" w:rsidRPr="00DA7555">
        <w:rPr>
          <w:rFonts w:ascii="Times New Roman" w:hAnsi="Times New Roman"/>
        </w:rPr>
        <w:t xml:space="preserve">have dual accountability to both finance and the business team. </w:t>
      </w:r>
      <w:r w:rsidR="00DA7555">
        <w:rPr>
          <w:rFonts w:ascii="Times New Roman" w:hAnsi="Times New Roman"/>
        </w:rPr>
        <w:t xml:space="preserve">He/she must have applied the concepts of </w:t>
      </w:r>
      <w:r w:rsidR="00DA7555" w:rsidRPr="00DA7555">
        <w:rPr>
          <w:rFonts w:ascii="Times New Roman" w:hAnsi="Times New Roman"/>
        </w:rPr>
        <w:t>the development of new product costing, operations research, business driver metrics, sales management score</w:t>
      </w:r>
      <w:r w:rsidR="008C1FB6">
        <w:rPr>
          <w:rFonts w:ascii="Times New Roman" w:hAnsi="Times New Roman"/>
        </w:rPr>
        <w:t>-</w:t>
      </w:r>
      <w:r w:rsidR="00DA7555" w:rsidRPr="00DA7555">
        <w:rPr>
          <w:rFonts w:ascii="Times New Roman" w:hAnsi="Times New Roman"/>
        </w:rPr>
        <w:t>carding, and client profitability analysis</w:t>
      </w:r>
      <w:r w:rsidRPr="00DA7555">
        <w:rPr>
          <w:rFonts w:ascii="Times New Roman" w:hAnsi="Times New Roman"/>
        </w:rPr>
        <w:t>.</w:t>
      </w:r>
    </w:p>
    <w:p w:rsidR="0043090C" w:rsidRDefault="0043090C" w:rsidP="00FC2B9F">
      <w:pPr>
        <w:jc w:val="center"/>
      </w:pPr>
    </w:p>
    <w:p w:rsidR="0054441D" w:rsidRDefault="0054441D" w:rsidP="005444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OUTLINE</w:t>
      </w:r>
    </w:p>
    <w:p w:rsidR="0054441D" w:rsidRPr="00561866" w:rsidRDefault="0054441D" w:rsidP="0054441D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5102"/>
        <w:gridCol w:w="3157"/>
      </w:tblGrid>
      <w:tr w:rsidR="0054441D" w:rsidTr="00C61557">
        <w:tc>
          <w:tcPr>
            <w:tcW w:w="1098" w:type="dxa"/>
          </w:tcPr>
          <w:p w:rsidR="0054441D" w:rsidRPr="00D0502B" w:rsidRDefault="0054441D" w:rsidP="00C61557">
            <w:pPr>
              <w:pStyle w:val="Default"/>
              <w:jc w:val="center"/>
              <w:rPr>
                <w:b/>
                <w:color w:val="auto"/>
              </w:rPr>
            </w:pPr>
            <w:r w:rsidRPr="00D0502B">
              <w:rPr>
                <w:b/>
                <w:color w:val="auto"/>
              </w:rPr>
              <w:t>Session</w:t>
            </w:r>
          </w:p>
        </w:tc>
        <w:tc>
          <w:tcPr>
            <w:tcW w:w="5286" w:type="dxa"/>
          </w:tcPr>
          <w:p w:rsidR="0054441D" w:rsidRPr="00D0502B" w:rsidRDefault="003E6CC7" w:rsidP="003E6CC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Chapter</w:t>
            </w:r>
            <w:r>
              <w:rPr>
                <w:b/>
                <w:color w:val="auto"/>
              </w:rPr>
              <w:t xml:space="preserve"> (</w:t>
            </w:r>
            <w:r w:rsidR="0054441D" w:rsidRPr="00D0502B">
              <w:rPr>
                <w:b/>
                <w:color w:val="auto"/>
              </w:rPr>
              <w:t>Topic</w:t>
            </w:r>
            <w:r w:rsidR="0054441D">
              <w:rPr>
                <w:b/>
                <w:color w:val="auto"/>
              </w:rPr>
              <w:t>/</w:t>
            </w:r>
            <w:r w:rsidR="0054441D" w:rsidRPr="00D0502B">
              <w:rPr>
                <w:b/>
                <w:color w:val="auto"/>
              </w:rPr>
              <w:t>s</w:t>
            </w:r>
            <w:r>
              <w:rPr>
                <w:b/>
                <w:color w:val="auto"/>
              </w:rPr>
              <w:t xml:space="preserve">) </w:t>
            </w:r>
          </w:p>
        </w:tc>
        <w:tc>
          <w:tcPr>
            <w:tcW w:w="3192" w:type="dxa"/>
          </w:tcPr>
          <w:p w:rsidR="0054441D" w:rsidRPr="00D0502B" w:rsidRDefault="0054441D" w:rsidP="00C61557">
            <w:pPr>
              <w:pStyle w:val="Default"/>
              <w:jc w:val="center"/>
              <w:rPr>
                <w:b/>
                <w:color w:val="auto"/>
              </w:rPr>
            </w:pPr>
            <w:r w:rsidRPr="00D0502B">
              <w:rPr>
                <w:b/>
                <w:color w:val="auto"/>
              </w:rPr>
              <w:t>Activities/Assignments</w:t>
            </w:r>
          </w:p>
        </w:tc>
      </w:tr>
      <w:tr w:rsidR="0054441D" w:rsidTr="00C61557">
        <w:tc>
          <w:tcPr>
            <w:tcW w:w="1098" w:type="dxa"/>
          </w:tcPr>
          <w:p w:rsidR="0054441D" w:rsidRPr="00D0502B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D0502B">
              <w:rPr>
                <w:color w:val="auto"/>
              </w:rPr>
              <w:t>1</w:t>
            </w:r>
          </w:p>
        </w:tc>
        <w:tc>
          <w:tcPr>
            <w:tcW w:w="5286" w:type="dxa"/>
          </w:tcPr>
          <w:p w:rsidR="00530683" w:rsidRPr="00D774EC" w:rsidRDefault="000E6C62" w:rsidP="00D774EC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1. Introduction to Managerial Accounting.</w:t>
            </w:r>
            <w:r w:rsidRPr="000E6C62">
              <w:rPr>
                <w:rFonts w:ascii="Times New Roman" w:hAnsi="Times New Roman"/>
              </w:rPr>
              <w:br/>
              <w:t>2. Basic Managerial Accounting Concepts.</w:t>
            </w:r>
          </w:p>
        </w:tc>
        <w:tc>
          <w:tcPr>
            <w:tcW w:w="3192" w:type="dxa"/>
          </w:tcPr>
          <w:p w:rsidR="0054441D" w:rsidRDefault="00F9154E" w:rsidP="00C6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Exercise 1-13 Customer’s Value, Strategic Positioning</w:t>
            </w:r>
          </w:p>
          <w:p w:rsidR="00F9154E" w:rsidRPr="00D0502B" w:rsidRDefault="00F9154E" w:rsidP="00C6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2-54 Cost Classification, Income Statement</w:t>
            </w:r>
          </w:p>
        </w:tc>
      </w:tr>
      <w:tr w:rsidR="0054441D" w:rsidTr="00C61557">
        <w:tc>
          <w:tcPr>
            <w:tcW w:w="1098" w:type="dxa"/>
          </w:tcPr>
          <w:p w:rsidR="0054441D" w:rsidRPr="00D0502B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D0502B">
              <w:rPr>
                <w:color w:val="auto"/>
              </w:rPr>
              <w:t>2</w:t>
            </w:r>
          </w:p>
        </w:tc>
        <w:tc>
          <w:tcPr>
            <w:tcW w:w="5286" w:type="dxa"/>
          </w:tcPr>
          <w:p w:rsidR="00D906F3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3. Cost Behavior.</w:t>
            </w:r>
          </w:p>
        </w:tc>
        <w:tc>
          <w:tcPr>
            <w:tcW w:w="3192" w:type="dxa"/>
          </w:tcPr>
          <w:p w:rsidR="0054441D" w:rsidRPr="00D0502B" w:rsidRDefault="00171E22" w:rsidP="00171E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Case 3-52 Cost Formulas, Single and Multiple Cost Drivers </w:t>
            </w:r>
          </w:p>
        </w:tc>
      </w:tr>
      <w:tr w:rsidR="0054441D" w:rsidTr="00C61557">
        <w:tc>
          <w:tcPr>
            <w:tcW w:w="1098" w:type="dxa"/>
          </w:tcPr>
          <w:p w:rsidR="0054441D" w:rsidRPr="00D0502B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D0502B">
              <w:rPr>
                <w:color w:val="auto"/>
              </w:rPr>
              <w:t>3</w:t>
            </w:r>
          </w:p>
        </w:tc>
        <w:tc>
          <w:tcPr>
            <w:tcW w:w="5286" w:type="dxa"/>
          </w:tcPr>
          <w:p w:rsidR="0054441D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4. Cost-Volume-Profit Analysis: A Managerial Planning Tool.</w:t>
            </w:r>
          </w:p>
        </w:tc>
        <w:tc>
          <w:tcPr>
            <w:tcW w:w="3192" w:type="dxa"/>
          </w:tcPr>
          <w:p w:rsidR="0054441D" w:rsidRPr="00D0502B" w:rsidRDefault="00B2737D" w:rsidP="00CE7A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4-54 Cost-Volume-Profit with Multiple Products, Sales Mix Changes, Changes in Fixed and Variable Costs</w:t>
            </w:r>
          </w:p>
        </w:tc>
      </w:tr>
      <w:tr w:rsidR="0054441D" w:rsidTr="00C61557">
        <w:tc>
          <w:tcPr>
            <w:tcW w:w="1098" w:type="dxa"/>
          </w:tcPr>
          <w:p w:rsidR="0054441D" w:rsidRPr="00D0502B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D0502B">
              <w:rPr>
                <w:color w:val="auto"/>
              </w:rPr>
              <w:t>4</w:t>
            </w:r>
          </w:p>
        </w:tc>
        <w:tc>
          <w:tcPr>
            <w:tcW w:w="5286" w:type="dxa"/>
          </w:tcPr>
          <w:p w:rsidR="00D906F3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5. Job-Order Costing.</w:t>
            </w:r>
          </w:p>
        </w:tc>
        <w:tc>
          <w:tcPr>
            <w:tcW w:w="3192" w:type="dxa"/>
          </w:tcPr>
          <w:p w:rsidR="0054441D" w:rsidRPr="00D0502B" w:rsidRDefault="00B2737D" w:rsidP="00CE7A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5-59 Overhead Assignment: Actual and Normal Activity Compared</w:t>
            </w:r>
          </w:p>
        </w:tc>
      </w:tr>
      <w:tr w:rsidR="0054441D" w:rsidTr="00C61557">
        <w:tc>
          <w:tcPr>
            <w:tcW w:w="1098" w:type="dxa"/>
          </w:tcPr>
          <w:p w:rsidR="0054441D" w:rsidRPr="00D0502B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D0502B">
              <w:rPr>
                <w:color w:val="auto"/>
              </w:rPr>
              <w:t>5</w:t>
            </w:r>
          </w:p>
        </w:tc>
        <w:tc>
          <w:tcPr>
            <w:tcW w:w="5286" w:type="dxa"/>
          </w:tcPr>
          <w:p w:rsidR="0054441D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6. Process Costing.</w:t>
            </w:r>
          </w:p>
        </w:tc>
        <w:tc>
          <w:tcPr>
            <w:tcW w:w="3192" w:type="dxa"/>
          </w:tcPr>
          <w:p w:rsidR="0054441D" w:rsidRPr="00D0502B" w:rsidRDefault="00874BEE" w:rsidP="00C50E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6-59 Process Costing versus Alternative Costing Methods, Impact on Resource Allocation Decision</w:t>
            </w:r>
          </w:p>
        </w:tc>
      </w:tr>
      <w:tr w:rsidR="0054441D" w:rsidTr="00C61557">
        <w:tc>
          <w:tcPr>
            <w:tcW w:w="1098" w:type="dxa"/>
          </w:tcPr>
          <w:p w:rsidR="0054441D" w:rsidRPr="00D0502B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D0502B">
              <w:rPr>
                <w:color w:val="auto"/>
              </w:rPr>
              <w:t>6</w:t>
            </w:r>
          </w:p>
        </w:tc>
        <w:tc>
          <w:tcPr>
            <w:tcW w:w="5286" w:type="dxa"/>
          </w:tcPr>
          <w:p w:rsidR="00D906F3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7. Activity-Based Costing and Management.</w:t>
            </w:r>
          </w:p>
        </w:tc>
        <w:tc>
          <w:tcPr>
            <w:tcW w:w="3192" w:type="dxa"/>
          </w:tcPr>
          <w:p w:rsidR="0054441D" w:rsidRPr="00D0502B" w:rsidRDefault="009D2F6F" w:rsidP="00C50E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7-64 Activity-Based Costing, Distorted Product Costs</w:t>
            </w:r>
          </w:p>
        </w:tc>
      </w:tr>
      <w:tr w:rsidR="00D906F3" w:rsidTr="00C61557">
        <w:tc>
          <w:tcPr>
            <w:tcW w:w="1098" w:type="dxa"/>
          </w:tcPr>
          <w:p w:rsidR="00D906F3" w:rsidRPr="00D0502B" w:rsidRDefault="00D906F3" w:rsidP="00C615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286" w:type="dxa"/>
          </w:tcPr>
          <w:p w:rsidR="00D906F3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8. Absorption and Variable Costing, and Inventory Management.</w:t>
            </w:r>
          </w:p>
        </w:tc>
        <w:tc>
          <w:tcPr>
            <w:tcW w:w="3192" w:type="dxa"/>
          </w:tcPr>
          <w:p w:rsidR="00D906F3" w:rsidRDefault="009D2F6F" w:rsidP="00C50E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8-42 Ethical Issues, Absorption Costing, Performance Measurement</w:t>
            </w:r>
          </w:p>
        </w:tc>
      </w:tr>
      <w:tr w:rsidR="00D906F3" w:rsidTr="00C61557">
        <w:tc>
          <w:tcPr>
            <w:tcW w:w="1098" w:type="dxa"/>
          </w:tcPr>
          <w:p w:rsidR="00D906F3" w:rsidRPr="00D0502B" w:rsidRDefault="00D906F3" w:rsidP="00C615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286" w:type="dxa"/>
          </w:tcPr>
          <w:p w:rsidR="00D906F3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9. Profit Planning.</w:t>
            </w:r>
          </w:p>
        </w:tc>
        <w:tc>
          <w:tcPr>
            <w:tcW w:w="3192" w:type="dxa"/>
          </w:tcPr>
          <w:p w:rsidR="00D906F3" w:rsidRDefault="009D2F6F" w:rsidP="00C50E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9-54 Budgeting in the Government Sector, Internet Research</w:t>
            </w:r>
          </w:p>
        </w:tc>
      </w:tr>
      <w:tr w:rsidR="00D906F3" w:rsidTr="00C61557">
        <w:tc>
          <w:tcPr>
            <w:tcW w:w="1098" w:type="dxa"/>
          </w:tcPr>
          <w:p w:rsidR="00D906F3" w:rsidRPr="00D0502B" w:rsidRDefault="00D906F3" w:rsidP="00C615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286" w:type="dxa"/>
          </w:tcPr>
          <w:p w:rsidR="00D906F3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10. Standard Costing: A Managerial Control Tool.</w:t>
            </w:r>
          </w:p>
        </w:tc>
        <w:tc>
          <w:tcPr>
            <w:tcW w:w="3192" w:type="dxa"/>
          </w:tcPr>
          <w:p w:rsidR="00D906F3" w:rsidRDefault="009D2F6F" w:rsidP="00C50E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10-49 Establishment of Standards, Variance Analysis</w:t>
            </w:r>
          </w:p>
        </w:tc>
      </w:tr>
      <w:tr w:rsidR="00D906F3" w:rsidTr="00C61557">
        <w:tc>
          <w:tcPr>
            <w:tcW w:w="1098" w:type="dxa"/>
          </w:tcPr>
          <w:p w:rsidR="00D906F3" w:rsidRPr="00D0502B" w:rsidRDefault="00D906F3" w:rsidP="00C615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286" w:type="dxa"/>
          </w:tcPr>
          <w:p w:rsidR="00D906F3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11. Flexible Budgets and Overhead Analysis.</w:t>
            </w:r>
          </w:p>
        </w:tc>
        <w:tc>
          <w:tcPr>
            <w:tcW w:w="3192" w:type="dxa"/>
          </w:tcPr>
          <w:p w:rsidR="00D906F3" w:rsidRDefault="009D2F6F" w:rsidP="00C50E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11-59 Fixed Overhead Spending and Volume Variances, Capacity Management</w:t>
            </w:r>
          </w:p>
        </w:tc>
      </w:tr>
      <w:tr w:rsidR="00D906F3" w:rsidTr="00C61557">
        <w:tc>
          <w:tcPr>
            <w:tcW w:w="1098" w:type="dxa"/>
          </w:tcPr>
          <w:p w:rsidR="00D906F3" w:rsidRPr="00D0502B" w:rsidRDefault="00D906F3" w:rsidP="00C615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286" w:type="dxa"/>
          </w:tcPr>
          <w:p w:rsidR="006C0B0D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12. Performance Evaluation and Decentralization.</w:t>
            </w:r>
          </w:p>
        </w:tc>
        <w:tc>
          <w:tcPr>
            <w:tcW w:w="3192" w:type="dxa"/>
          </w:tcPr>
          <w:p w:rsidR="00D906F3" w:rsidRDefault="00B4184D" w:rsidP="00C50E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12-44 Return on Investment Ethical Considerations</w:t>
            </w:r>
          </w:p>
        </w:tc>
      </w:tr>
      <w:tr w:rsidR="00D906F3" w:rsidTr="00C61557">
        <w:tc>
          <w:tcPr>
            <w:tcW w:w="1098" w:type="dxa"/>
          </w:tcPr>
          <w:p w:rsidR="00D906F3" w:rsidRPr="00D0502B" w:rsidRDefault="00D906F3" w:rsidP="00C615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286" w:type="dxa"/>
          </w:tcPr>
          <w:p w:rsidR="006C0B0D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13. Short-Run Decision-Making: Relevant Costing.</w:t>
            </w:r>
          </w:p>
        </w:tc>
        <w:tc>
          <w:tcPr>
            <w:tcW w:w="3192" w:type="dxa"/>
          </w:tcPr>
          <w:p w:rsidR="00D906F3" w:rsidRDefault="00E81799" w:rsidP="00D676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13-5</w:t>
            </w:r>
            <w:r w:rsidR="00D676E2">
              <w:rPr>
                <w:color w:val="auto"/>
              </w:rPr>
              <w:t>2 Keep or Drop a Division</w:t>
            </w:r>
          </w:p>
        </w:tc>
      </w:tr>
      <w:tr w:rsidR="00E57481" w:rsidTr="00C61557">
        <w:tc>
          <w:tcPr>
            <w:tcW w:w="1098" w:type="dxa"/>
          </w:tcPr>
          <w:p w:rsidR="00E57481" w:rsidRDefault="00E57481" w:rsidP="00D906F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286" w:type="dxa"/>
          </w:tcPr>
          <w:p w:rsidR="005E4D27" w:rsidRPr="00D774EC" w:rsidRDefault="000E6C62" w:rsidP="005A59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14. Capital Investment Decisions.</w:t>
            </w:r>
          </w:p>
        </w:tc>
        <w:tc>
          <w:tcPr>
            <w:tcW w:w="3192" w:type="dxa"/>
          </w:tcPr>
          <w:p w:rsidR="00E57481" w:rsidRPr="00D0502B" w:rsidRDefault="00E81799" w:rsidP="00D869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14-50 Payback, Net Present Value, Internal Rate of Return, Effects of Differences in Sales on Project Viability</w:t>
            </w:r>
          </w:p>
        </w:tc>
      </w:tr>
      <w:tr w:rsidR="0054441D" w:rsidTr="00C61557">
        <w:tc>
          <w:tcPr>
            <w:tcW w:w="1098" w:type="dxa"/>
          </w:tcPr>
          <w:p w:rsidR="0054441D" w:rsidRPr="00D0502B" w:rsidRDefault="00D906F3" w:rsidP="00D906F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14</w:t>
            </w:r>
          </w:p>
        </w:tc>
        <w:tc>
          <w:tcPr>
            <w:tcW w:w="5286" w:type="dxa"/>
          </w:tcPr>
          <w:p w:rsidR="005E4D27" w:rsidRPr="00E073F2" w:rsidRDefault="000E6C62" w:rsidP="00056D57">
            <w:pPr>
              <w:rPr>
                <w:rFonts w:ascii="Times New Roman" w:hAnsi="Times New Roman"/>
              </w:rPr>
            </w:pPr>
            <w:r w:rsidRPr="000E6C62">
              <w:rPr>
                <w:rFonts w:ascii="Times New Roman" w:hAnsi="Times New Roman"/>
              </w:rPr>
              <w:t>15. Statement of Cash Flows.</w:t>
            </w:r>
            <w:r w:rsidRPr="000E6C62">
              <w:rPr>
                <w:rFonts w:ascii="Times New Roman" w:hAnsi="Times New Roman"/>
              </w:rPr>
              <w:br/>
              <w:t>16. Financial Statement Analysis.</w:t>
            </w:r>
          </w:p>
        </w:tc>
        <w:tc>
          <w:tcPr>
            <w:tcW w:w="3192" w:type="dxa"/>
          </w:tcPr>
          <w:p w:rsidR="0054441D" w:rsidRDefault="00D676E2" w:rsidP="00D869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15-50 Direct and Indirect Methods</w:t>
            </w:r>
          </w:p>
          <w:p w:rsidR="00AA7470" w:rsidRPr="00D0502B" w:rsidRDefault="00AA7470" w:rsidP="00D869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16-54 Manipulation of Ratios and Ethical Behavior</w:t>
            </w:r>
          </w:p>
        </w:tc>
      </w:tr>
    </w:tbl>
    <w:p w:rsidR="0054441D" w:rsidRDefault="0054441D" w:rsidP="0054441D"/>
    <w:p w:rsidR="00A12595" w:rsidRDefault="00A12595">
      <w:pPr>
        <w:pStyle w:val="Default"/>
        <w:rPr>
          <w:color w:val="auto"/>
        </w:rPr>
      </w:pPr>
    </w:p>
    <w:p w:rsidR="005B141B" w:rsidRDefault="005B141B">
      <w:pPr>
        <w:pStyle w:val="Default"/>
        <w:rPr>
          <w:color w:val="auto"/>
        </w:rPr>
      </w:pPr>
    </w:p>
    <w:p w:rsidR="00E20234" w:rsidRDefault="00E20234">
      <w:pPr>
        <w:pStyle w:val="Default"/>
        <w:rPr>
          <w:color w:val="auto"/>
        </w:rPr>
      </w:pPr>
    </w:p>
    <w:p w:rsidR="00F950DC" w:rsidRPr="00F950DC" w:rsidRDefault="00F950DC" w:rsidP="00F950DC">
      <w:pPr>
        <w:pStyle w:val="Default"/>
        <w:jc w:val="center"/>
        <w:rPr>
          <w:b/>
          <w:color w:val="auto"/>
        </w:rPr>
      </w:pPr>
      <w:r w:rsidRPr="00F950DC">
        <w:rPr>
          <w:b/>
          <w:color w:val="auto"/>
        </w:rPr>
        <w:t>REFERENCES</w:t>
      </w:r>
    </w:p>
    <w:p w:rsidR="00F950DC" w:rsidRDefault="00F950D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2912"/>
        <w:gridCol w:w="1513"/>
      </w:tblGrid>
      <w:tr w:rsidR="005E34C4" w:rsidTr="005E34C4">
        <w:tc>
          <w:tcPr>
            <w:tcW w:w="4925" w:type="dxa"/>
          </w:tcPr>
          <w:p w:rsidR="00104949" w:rsidRPr="00D0502B" w:rsidRDefault="00104949" w:rsidP="00D0502B">
            <w:pPr>
              <w:pStyle w:val="Default"/>
              <w:jc w:val="center"/>
              <w:rPr>
                <w:b/>
                <w:color w:val="auto"/>
              </w:rPr>
            </w:pPr>
            <w:r w:rsidRPr="00D0502B">
              <w:rPr>
                <w:b/>
                <w:color w:val="auto"/>
              </w:rPr>
              <w:t>Title</w:t>
            </w:r>
          </w:p>
        </w:tc>
        <w:tc>
          <w:tcPr>
            <w:tcW w:w="2912" w:type="dxa"/>
          </w:tcPr>
          <w:p w:rsidR="00104949" w:rsidRPr="00D0502B" w:rsidRDefault="00104949" w:rsidP="00D0502B">
            <w:pPr>
              <w:pStyle w:val="Default"/>
              <w:jc w:val="center"/>
              <w:rPr>
                <w:b/>
                <w:color w:val="auto"/>
              </w:rPr>
            </w:pPr>
            <w:r w:rsidRPr="00D0502B">
              <w:rPr>
                <w:b/>
                <w:color w:val="auto"/>
              </w:rPr>
              <w:t>Author/s</w:t>
            </w:r>
          </w:p>
        </w:tc>
        <w:tc>
          <w:tcPr>
            <w:tcW w:w="1513" w:type="dxa"/>
          </w:tcPr>
          <w:p w:rsidR="00104949" w:rsidRPr="00D0502B" w:rsidRDefault="00104949" w:rsidP="00D0502B">
            <w:pPr>
              <w:pStyle w:val="Default"/>
              <w:jc w:val="center"/>
              <w:rPr>
                <w:b/>
                <w:color w:val="auto"/>
              </w:rPr>
            </w:pPr>
            <w:r w:rsidRPr="00D0502B">
              <w:rPr>
                <w:b/>
                <w:color w:val="auto"/>
              </w:rPr>
              <w:t>Year</w:t>
            </w:r>
          </w:p>
        </w:tc>
      </w:tr>
      <w:tr w:rsidR="005E34C4" w:rsidTr="005E34C4">
        <w:tc>
          <w:tcPr>
            <w:tcW w:w="4925" w:type="dxa"/>
          </w:tcPr>
          <w:p w:rsidR="00104949" w:rsidRPr="000E5CD4" w:rsidRDefault="00EE3CA5" w:rsidP="00D14E0F">
            <w:pPr>
              <w:pStyle w:val="Quote"/>
              <w:rPr>
                <w:rFonts w:ascii="Times New Roman" w:hAnsi="Times New Roman"/>
                <w:b/>
                <w:i w:val="0"/>
                <w:color w:val="auto"/>
                <w:shd w:val="clear" w:color="auto" w:fill="FFFFFF"/>
              </w:rPr>
            </w:pPr>
            <w:r w:rsidRPr="00EE3CA5">
              <w:rPr>
                <w:rFonts w:ascii="Times New Roman" w:hAnsi="Times New Roman"/>
                <w:b/>
                <w:i w:val="0"/>
                <w:color w:val="auto"/>
                <w:shd w:val="clear" w:color="auto" w:fill="FFFFFF"/>
              </w:rPr>
              <w:t>Management Accounting</w:t>
            </w:r>
            <w:r w:rsidR="009B412C">
              <w:rPr>
                <w:rFonts w:ascii="Times New Roman" w:hAnsi="Times New Roman"/>
                <w:b/>
                <w:i w:val="0"/>
                <w:color w:val="auto"/>
                <w:shd w:val="clear" w:color="auto" w:fill="FFFFFF"/>
              </w:rPr>
              <w:t>,</w:t>
            </w:r>
            <w:r w:rsidRPr="00EE3CA5">
              <w:rPr>
                <w:rFonts w:ascii="Times New Roman" w:hAnsi="Times New Roman"/>
                <w:b/>
                <w:i w:val="0"/>
                <w:color w:val="auto"/>
                <w:shd w:val="clear" w:color="auto" w:fill="FFFFFF"/>
              </w:rPr>
              <w:t xml:space="preserve"> </w:t>
            </w:r>
            <w:r w:rsidR="00D14E0F">
              <w:rPr>
                <w:rFonts w:ascii="Times New Roman" w:hAnsi="Times New Roman"/>
                <w:b/>
                <w:i w:val="0"/>
                <w:color w:val="auto"/>
                <w:shd w:val="clear" w:color="auto" w:fill="FFFFFF"/>
              </w:rPr>
              <w:t>5</w:t>
            </w:r>
            <w:r w:rsidRPr="00EE3CA5">
              <w:rPr>
                <w:rFonts w:ascii="Times New Roman" w:hAnsi="Times New Roman"/>
                <w:b/>
                <w:i w:val="0"/>
                <w:color w:val="auto"/>
                <w:shd w:val="clear" w:color="auto" w:fill="FFFFFF"/>
              </w:rPr>
              <w:t>/E</w:t>
            </w:r>
          </w:p>
        </w:tc>
        <w:tc>
          <w:tcPr>
            <w:tcW w:w="2912" w:type="dxa"/>
          </w:tcPr>
          <w:p w:rsidR="00D14E0F" w:rsidRDefault="00D14E0F" w:rsidP="009B412C">
            <w:pPr>
              <w:rPr>
                <w:rFonts w:ascii="Times New Roman" w:hAnsi="Times New Roman"/>
                <w:b/>
                <w:bCs/>
                <w:lang w:val="fil-PH"/>
              </w:rPr>
            </w:pPr>
            <w:r>
              <w:rPr>
                <w:rFonts w:ascii="Times New Roman" w:hAnsi="Times New Roman"/>
                <w:b/>
                <w:bCs/>
                <w:lang w:val="fil-PH"/>
              </w:rPr>
              <w:t>Maryanne M. Mowen,</w:t>
            </w:r>
          </w:p>
          <w:p w:rsidR="00D14E0F" w:rsidRDefault="00D14E0F" w:rsidP="009B412C">
            <w:pPr>
              <w:rPr>
                <w:rFonts w:ascii="Times New Roman" w:hAnsi="Times New Roman"/>
                <w:b/>
                <w:bCs/>
                <w:lang w:val="fil-PH"/>
              </w:rPr>
            </w:pPr>
            <w:r>
              <w:rPr>
                <w:rFonts w:ascii="Times New Roman" w:hAnsi="Times New Roman"/>
                <w:b/>
                <w:bCs/>
                <w:lang w:val="fil-PH"/>
              </w:rPr>
              <w:t>Don R. Hansen,</w:t>
            </w:r>
          </w:p>
          <w:p w:rsidR="00104949" w:rsidRPr="009B412C" w:rsidRDefault="00D14E0F" w:rsidP="009B412C">
            <w:pPr>
              <w:rPr>
                <w:rFonts w:ascii="Times New Roman" w:hAnsi="Times New Roman"/>
                <w:b/>
                <w:bCs/>
                <w:lang w:val="fil-PH"/>
              </w:rPr>
            </w:pPr>
            <w:r>
              <w:rPr>
                <w:rFonts w:ascii="Times New Roman" w:hAnsi="Times New Roman"/>
                <w:b/>
                <w:bCs/>
                <w:lang w:val="fil-PH"/>
              </w:rPr>
              <w:t>Dan L. Heitger</w:t>
            </w:r>
          </w:p>
        </w:tc>
        <w:tc>
          <w:tcPr>
            <w:tcW w:w="1513" w:type="dxa"/>
          </w:tcPr>
          <w:p w:rsidR="00104949" w:rsidRPr="00185731" w:rsidRDefault="00D14E0F" w:rsidP="00D14E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Cengage Learning</w:t>
            </w:r>
            <w:r w:rsidR="009B412C">
              <w:rPr>
                <w:rFonts w:ascii="Times New Roman" w:hAnsi="Times New Roman"/>
                <w:b/>
              </w:rPr>
              <w:t xml:space="preserve"> </w:t>
            </w:r>
            <w:r w:rsidR="009B412C" w:rsidRPr="009B412C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14E0F" w:rsidTr="005E34C4">
        <w:tc>
          <w:tcPr>
            <w:tcW w:w="4925" w:type="dxa"/>
          </w:tcPr>
          <w:p w:rsidR="00D14E0F" w:rsidRPr="00D14E0F" w:rsidRDefault="00D14E0F" w:rsidP="00D14E0F">
            <w:pPr>
              <w:pStyle w:val="Quote"/>
              <w:rPr>
                <w:rFonts w:ascii="Times New Roman" w:hAnsi="Times New Roman"/>
                <w:i w:val="0"/>
                <w:color w:val="auto"/>
                <w:shd w:val="clear" w:color="auto" w:fill="FFFFFF"/>
              </w:rPr>
            </w:pPr>
            <w:r w:rsidRPr="00D14E0F">
              <w:rPr>
                <w:rFonts w:ascii="Times New Roman" w:hAnsi="Times New Roman"/>
                <w:i w:val="0"/>
                <w:color w:val="auto"/>
                <w:shd w:val="clear" w:color="auto" w:fill="FFFFFF"/>
              </w:rPr>
              <w:t>Introduction to Management Accounting, 16/E</w:t>
            </w:r>
          </w:p>
        </w:tc>
        <w:tc>
          <w:tcPr>
            <w:tcW w:w="2912" w:type="dxa"/>
          </w:tcPr>
          <w:p w:rsidR="00D14E0F" w:rsidRPr="00D14E0F" w:rsidRDefault="00D14E0F" w:rsidP="00D14E0F">
            <w:pPr>
              <w:rPr>
                <w:rFonts w:ascii="Times New Roman" w:hAnsi="Times New Roman"/>
                <w:bCs/>
                <w:lang w:val="fil-PH"/>
              </w:rPr>
            </w:pPr>
            <w:r w:rsidRPr="00D14E0F">
              <w:rPr>
                <w:rFonts w:ascii="Times New Roman" w:hAnsi="Times New Roman"/>
                <w:bCs/>
                <w:lang w:val="fil-PH"/>
              </w:rPr>
              <w:t>Charles T. Horngren, </w:t>
            </w:r>
          </w:p>
          <w:p w:rsidR="00D14E0F" w:rsidRPr="00D14E0F" w:rsidRDefault="00D14E0F" w:rsidP="00D14E0F">
            <w:pPr>
              <w:rPr>
                <w:rFonts w:ascii="Times New Roman" w:hAnsi="Times New Roman"/>
                <w:bCs/>
                <w:lang w:val="fil-PH"/>
              </w:rPr>
            </w:pPr>
            <w:r w:rsidRPr="00D14E0F">
              <w:rPr>
                <w:rFonts w:ascii="Times New Roman" w:hAnsi="Times New Roman"/>
                <w:bCs/>
                <w:lang w:val="fil-PH"/>
              </w:rPr>
              <w:t>Gary L. Sundem, </w:t>
            </w:r>
          </w:p>
          <w:p w:rsidR="00D14E0F" w:rsidRPr="00D14E0F" w:rsidRDefault="00D14E0F" w:rsidP="00D14E0F">
            <w:pPr>
              <w:rPr>
                <w:rFonts w:ascii="Times New Roman" w:hAnsi="Times New Roman"/>
                <w:bCs/>
                <w:lang w:val="fil-PH"/>
              </w:rPr>
            </w:pPr>
            <w:r w:rsidRPr="00D14E0F">
              <w:rPr>
                <w:rFonts w:ascii="Times New Roman" w:hAnsi="Times New Roman"/>
                <w:bCs/>
                <w:lang w:val="fil-PH"/>
              </w:rPr>
              <w:t xml:space="preserve">Jeff O. Schatzberg, </w:t>
            </w:r>
          </w:p>
          <w:p w:rsidR="00D14E0F" w:rsidRPr="00D14E0F" w:rsidRDefault="00D14E0F" w:rsidP="00D14E0F">
            <w:pPr>
              <w:rPr>
                <w:rFonts w:ascii="Times New Roman" w:hAnsi="Times New Roman"/>
                <w:bCs/>
                <w:lang w:val="fil-PH"/>
              </w:rPr>
            </w:pPr>
            <w:r w:rsidRPr="00D14E0F">
              <w:rPr>
                <w:rFonts w:ascii="Times New Roman" w:hAnsi="Times New Roman"/>
                <w:bCs/>
                <w:lang w:val="fil-PH"/>
              </w:rPr>
              <w:t>Dave Burgstahler</w:t>
            </w:r>
          </w:p>
        </w:tc>
        <w:tc>
          <w:tcPr>
            <w:tcW w:w="1513" w:type="dxa"/>
          </w:tcPr>
          <w:p w:rsidR="00D14E0F" w:rsidRPr="00D14E0F" w:rsidRDefault="00D14E0F" w:rsidP="00D14E0F">
            <w:pPr>
              <w:rPr>
                <w:rFonts w:ascii="Times New Roman" w:hAnsi="Times New Roman"/>
              </w:rPr>
            </w:pPr>
            <w:r w:rsidRPr="00D14E0F">
              <w:rPr>
                <w:rFonts w:ascii="Times New Roman" w:hAnsi="Times New Roman"/>
              </w:rPr>
              <w:t>Prentice Hall 2014</w:t>
            </w:r>
          </w:p>
        </w:tc>
      </w:tr>
      <w:tr w:rsidR="00D14E0F" w:rsidTr="005E34C4">
        <w:tc>
          <w:tcPr>
            <w:tcW w:w="4925" w:type="dxa"/>
          </w:tcPr>
          <w:p w:rsidR="00D14E0F" w:rsidRPr="00104949" w:rsidRDefault="00D14E0F" w:rsidP="00D14E0F">
            <w:pPr>
              <w:pStyle w:val="Quote"/>
              <w:rPr>
                <w:rFonts w:ascii="Times New Roman" w:hAnsi="Times New Roman"/>
                <w:i w:val="0"/>
                <w:color w:val="auto"/>
              </w:rPr>
            </w:pPr>
            <w:r w:rsidRPr="00FC5461">
              <w:rPr>
                <w:rFonts w:ascii="Times New Roman" w:hAnsi="Times New Roman"/>
                <w:i w:val="0"/>
                <w:color w:val="auto"/>
              </w:rPr>
              <w:t>Managerial Accounting: Decision Making and Motivating Performance</w:t>
            </w:r>
          </w:p>
        </w:tc>
        <w:tc>
          <w:tcPr>
            <w:tcW w:w="2912" w:type="dxa"/>
          </w:tcPr>
          <w:p w:rsidR="00D14E0F" w:rsidRPr="00FC5461" w:rsidRDefault="00D14E0F" w:rsidP="00D14E0F">
            <w:pPr>
              <w:pStyle w:val="Quote"/>
              <w:rPr>
                <w:rFonts w:ascii="Times New Roman" w:hAnsi="Times New Roman"/>
                <w:i w:val="0"/>
                <w:lang w:val="fil-PH"/>
              </w:rPr>
            </w:pPr>
            <w:r w:rsidRPr="00FC5461">
              <w:rPr>
                <w:rFonts w:ascii="Times New Roman" w:hAnsi="Times New Roman"/>
                <w:i w:val="0"/>
                <w:lang w:val="fil-PH"/>
              </w:rPr>
              <w:t>Srikant M. Datar</w:t>
            </w:r>
            <w:r>
              <w:rPr>
                <w:rFonts w:ascii="Times New Roman" w:hAnsi="Times New Roman"/>
                <w:i w:val="0"/>
                <w:lang w:val="fil-PH"/>
              </w:rPr>
              <w:t>,</w:t>
            </w:r>
          </w:p>
          <w:p w:rsidR="00D14E0F" w:rsidRPr="00FC5461" w:rsidRDefault="00D14E0F" w:rsidP="00D14E0F">
            <w:pPr>
              <w:pStyle w:val="Quote"/>
              <w:rPr>
                <w:rFonts w:ascii="Times New Roman" w:hAnsi="Times New Roman"/>
                <w:i w:val="0"/>
                <w:lang w:val="fil-PH"/>
              </w:rPr>
            </w:pPr>
            <w:r w:rsidRPr="00FC5461">
              <w:rPr>
                <w:rFonts w:ascii="Times New Roman" w:hAnsi="Times New Roman"/>
                <w:i w:val="0"/>
                <w:lang w:val="fil-PH"/>
              </w:rPr>
              <w:t>Madhav V. Rajan</w:t>
            </w:r>
          </w:p>
        </w:tc>
        <w:tc>
          <w:tcPr>
            <w:tcW w:w="1513" w:type="dxa"/>
          </w:tcPr>
          <w:p w:rsidR="00D14E0F" w:rsidRPr="00FC5461" w:rsidRDefault="00D14E0F" w:rsidP="00D14E0F">
            <w:pPr>
              <w:rPr>
                <w:rFonts w:ascii="Times New Roman" w:hAnsi="Times New Roman"/>
              </w:rPr>
            </w:pPr>
            <w:r w:rsidRPr="00FC5461">
              <w:rPr>
                <w:rFonts w:ascii="Times New Roman" w:hAnsi="Times New Roman"/>
              </w:rPr>
              <w:t>Prentice Hall 2014</w:t>
            </w:r>
          </w:p>
        </w:tc>
      </w:tr>
      <w:tr w:rsidR="00D14E0F" w:rsidTr="005E34C4">
        <w:tc>
          <w:tcPr>
            <w:tcW w:w="4925" w:type="dxa"/>
          </w:tcPr>
          <w:p w:rsidR="00D14E0F" w:rsidRPr="00104949" w:rsidRDefault="00D14E0F" w:rsidP="00D14E0F">
            <w:pPr>
              <w:pStyle w:val="Quote"/>
              <w:rPr>
                <w:rFonts w:ascii="Times New Roman" w:hAnsi="Times New Roman"/>
                <w:i w:val="0"/>
                <w:color w:val="auto"/>
                <w:shd w:val="clear" w:color="auto" w:fill="FFFFFF"/>
              </w:rPr>
            </w:pPr>
            <w:r w:rsidRPr="00FC5461">
              <w:rPr>
                <w:rFonts w:ascii="Times New Roman" w:hAnsi="Times New Roman"/>
                <w:i w:val="0"/>
                <w:color w:val="auto"/>
                <w:shd w:val="clear" w:color="auto" w:fill="FFFFFF"/>
              </w:rPr>
              <w:t>Management Accounting: Information for Decision-Making and Strategy</w:t>
            </w:r>
            <w:r>
              <w:rPr>
                <w:rFonts w:ascii="Times New Roman" w:hAnsi="Times New Roman"/>
                <w:i w:val="0"/>
                <w:color w:val="auto"/>
                <w:shd w:val="clear" w:color="auto" w:fill="FFFFFF"/>
              </w:rPr>
              <w:t>, 6/E</w:t>
            </w:r>
          </w:p>
        </w:tc>
        <w:tc>
          <w:tcPr>
            <w:tcW w:w="2912" w:type="dxa"/>
          </w:tcPr>
          <w:p w:rsidR="00D14E0F" w:rsidRDefault="00D14E0F" w:rsidP="00D14E0F">
            <w:pPr>
              <w:rPr>
                <w:rFonts w:ascii="Times New Roman" w:hAnsi="Times New Roman"/>
                <w:bCs/>
                <w:lang w:val="fil-PH"/>
              </w:rPr>
            </w:pPr>
            <w:r w:rsidRPr="00FC5461">
              <w:rPr>
                <w:rFonts w:ascii="Times New Roman" w:hAnsi="Times New Roman"/>
                <w:bCs/>
                <w:lang w:val="fil-PH"/>
              </w:rPr>
              <w:t>Anthony A. Atkinson, </w:t>
            </w:r>
          </w:p>
          <w:p w:rsidR="00D14E0F" w:rsidRDefault="00D14E0F" w:rsidP="00D14E0F">
            <w:pPr>
              <w:rPr>
                <w:rFonts w:ascii="Times New Roman" w:hAnsi="Times New Roman"/>
                <w:bCs/>
                <w:lang w:val="fil-PH"/>
              </w:rPr>
            </w:pPr>
            <w:r w:rsidRPr="00FC5461">
              <w:rPr>
                <w:rFonts w:ascii="Times New Roman" w:hAnsi="Times New Roman"/>
                <w:bCs/>
                <w:lang w:val="fil-PH"/>
              </w:rPr>
              <w:t>Robert S. Kaplan,</w:t>
            </w:r>
          </w:p>
          <w:p w:rsidR="00D14E0F" w:rsidRDefault="00D14E0F" w:rsidP="00D14E0F">
            <w:pPr>
              <w:rPr>
                <w:rFonts w:ascii="Times New Roman" w:hAnsi="Times New Roman"/>
                <w:bCs/>
                <w:lang w:val="fil-PH"/>
              </w:rPr>
            </w:pPr>
            <w:r w:rsidRPr="00FC5461">
              <w:rPr>
                <w:rFonts w:ascii="Times New Roman" w:hAnsi="Times New Roman"/>
                <w:bCs/>
                <w:lang w:val="fil-PH"/>
              </w:rPr>
              <w:t>Ella Mae Matsumura,</w:t>
            </w:r>
            <w:r>
              <w:rPr>
                <w:rFonts w:ascii="Times New Roman" w:hAnsi="Times New Roman"/>
                <w:bCs/>
                <w:lang w:val="fil-PH"/>
              </w:rPr>
              <w:t xml:space="preserve"> </w:t>
            </w:r>
          </w:p>
          <w:p w:rsidR="00D14E0F" w:rsidRPr="007F103E" w:rsidRDefault="00D14E0F" w:rsidP="00D14E0F">
            <w:pPr>
              <w:rPr>
                <w:rFonts w:ascii="Times New Roman" w:hAnsi="Times New Roman"/>
                <w:bCs/>
                <w:lang w:val="fil-PH"/>
              </w:rPr>
            </w:pPr>
            <w:r w:rsidRPr="00FC5461">
              <w:rPr>
                <w:rFonts w:ascii="Times New Roman" w:hAnsi="Times New Roman"/>
                <w:bCs/>
                <w:lang w:val="fil-PH"/>
              </w:rPr>
              <w:t>S. Mark Young</w:t>
            </w:r>
          </w:p>
        </w:tc>
        <w:tc>
          <w:tcPr>
            <w:tcW w:w="1513" w:type="dxa"/>
          </w:tcPr>
          <w:p w:rsidR="00D14E0F" w:rsidRPr="00FC5461" w:rsidRDefault="00D14E0F" w:rsidP="00D14E0F">
            <w:pPr>
              <w:rPr>
                <w:rFonts w:ascii="Times New Roman" w:hAnsi="Times New Roman"/>
              </w:rPr>
            </w:pPr>
            <w:r w:rsidRPr="00FC5461">
              <w:rPr>
                <w:rFonts w:ascii="Times New Roman" w:hAnsi="Times New Roman"/>
              </w:rPr>
              <w:t>Prentice Hall 201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D14E0F" w:rsidTr="005E34C4">
        <w:tc>
          <w:tcPr>
            <w:tcW w:w="4925" w:type="dxa"/>
          </w:tcPr>
          <w:p w:rsidR="00D14E0F" w:rsidRPr="00104949" w:rsidRDefault="00D14E0F" w:rsidP="00D14E0F">
            <w:pPr>
              <w:pStyle w:val="Quote"/>
              <w:rPr>
                <w:rFonts w:ascii="Times New Roman" w:hAnsi="Times New Roman"/>
                <w:i w:val="0"/>
                <w:color w:val="auto"/>
              </w:rPr>
            </w:pPr>
            <w:r w:rsidRPr="005E34C4">
              <w:rPr>
                <w:rFonts w:ascii="Times New Roman" w:hAnsi="Times New Roman"/>
                <w:i w:val="0"/>
                <w:color w:val="auto"/>
              </w:rPr>
              <w:t>Readings in Management Accounting, 6/E</w:t>
            </w:r>
          </w:p>
        </w:tc>
        <w:tc>
          <w:tcPr>
            <w:tcW w:w="2912" w:type="dxa"/>
          </w:tcPr>
          <w:p w:rsidR="00D14E0F" w:rsidRPr="00104949" w:rsidRDefault="00D14E0F" w:rsidP="00D14E0F">
            <w:pPr>
              <w:pStyle w:val="Quote"/>
              <w:rPr>
                <w:rFonts w:ascii="Times New Roman" w:hAnsi="Times New Roman"/>
                <w:i w:val="0"/>
                <w:color w:val="auto"/>
              </w:rPr>
            </w:pPr>
            <w:r w:rsidRPr="005E34C4">
              <w:rPr>
                <w:rFonts w:ascii="Times New Roman" w:hAnsi="Times New Roman"/>
                <w:i w:val="0"/>
                <w:color w:val="auto"/>
              </w:rPr>
              <w:t>S. Mark Young</w:t>
            </w:r>
          </w:p>
        </w:tc>
        <w:tc>
          <w:tcPr>
            <w:tcW w:w="1513" w:type="dxa"/>
          </w:tcPr>
          <w:p w:rsidR="00D14E0F" w:rsidRPr="00104949" w:rsidRDefault="00D14E0F" w:rsidP="00D14E0F">
            <w:pPr>
              <w:rPr>
                <w:rFonts w:ascii="Times New Roman" w:hAnsi="Times New Roman"/>
              </w:rPr>
            </w:pPr>
            <w:r w:rsidRPr="00FC5461">
              <w:rPr>
                <w:rFonts w:ascii="Times New Roman" w:hAnsi="Times New Roman"/>
              </w:rPr>
              <w:t>Prentice Hall 201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F950DC" w:rsidRDefault="00F950DC">
      <w:pPr>
        <w:pStyle w:val="Default"/>
        <w:rPr>
          <w:color w:val="auto"/>
        </w:rPr>
      </w:pPr>
    </w:p>
    <w:p w:rsidR="0054441D" w:rsidRDefault="0054441D" w:rsidP="0054441D">
      <w:pPr>
        <w:pStyle w:val="Default"/>
        <w:rPr>
          <w:color w:val="auto"/>
        </w:rPr>
      </w:pPr>
    </w:p>
    <w:p w:rsidR="005E4D27" w:rsidRDefault="005E4D27" w:rsidP="0054441D">
      <w:pPr>
        <w:pStyle w:val="Default"/>
        <w:rPr>
          <w:color w:val="auto"/>
        </w:rPr>
      </w:pPr>
    </w:p>
    <w:p w:rsidR="005E4D27" w:rsidRDefault="005E4D27" w:rsidP="0054441D">
      <w:pPr>
        <w:pStyle w:val="Default"/>
        <w:rPr>
          <w:color w:val="auto"/>
        </w:rPr>
      </w:pPr>
    </w:p>
    <w:p w:rsidR="0054441D" w:rsidRPr="00CC22B7" w:rsidRDefault="0034548B" w:rsidP="0054441D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INSTRUCTIONAL</w:t>
      </w:r>
      <w:r w:rsidR="0054441D" w:rsidRPr="00CC22B7">
        <w:rPr>
          <w:b/>
          <w:color w:val="auto"/>
        </w:rPr>
        <w:t xml:space="preserve"> TOOLS</w:t>
      </w:r>
    </w:p>
    <w:p w:rsidR="0054441D" w:rsidRDefault="0054441D" w:rsidP="0054441D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3874"/>
        <w:gridCol w:w="4198"/>
      </w:tblGrid>
      <w:tr w:rsidR="0054441D" w:rsidTr="00C61557">
        <w:tc>
          <w:tcPr>
            <w:tcW w:w="1286" w:type="dxa"/>
          </w:tcPr>
          <w:p w:rsidR="0054441D" w:rsidRPr="00D0502B" w:rsidRDefault="0054441D" w:rsidP="00C61557">
            <w:pPr>
              <w:pStyle w:val="Default"/>
              <w:jc w:val="center"/>
              <w:rPr>
                <w:b/>
                <w:color w:val="auto"/>
              </w:rPr>
            </w:pPr>
            <w:r w:rsidRPr="00D0502B">
              <w:rPr>
                <w:b/>
                <w:color w:val="auto"/>
              </w:rPr>
              <w:t>System</w:t>
            </w:r>
          </w:p>
        </w:tc>
        <w:tc>
          <w:tcPr>
            <w:tcW w:w="4047" w:type="dxa"/>
          </w:tcPr>
          <w:p w:rsidR="0054441D" w:rsidRPr="00D0502B" w:rsidRDefault="0054441D" w:rsidP="00C61557">
            <w:pPr>
              <w:pStyle w:val="Default"/>
              <w:jc w:val="center"/>
              <w:rPr>
                <w:b/>
                <w:color w:val="auto"/>
              </w:rPr>
            </w:pPr>
            <w:r w:rsidRPr="00D0502B">
              <w:rPr>
                <w:b/>
                <w:color w:val="auto"/>
              </w:rPr>
              <w:t>Function</w:t>
            </w:r>
          </w:p>
        </w:tc>
        <w:tc>
          <w:tcPr>
            <w:tcW w:w="4243" w:type="dxa"/>
          </w:tcPr>
          <w:p w:rsidR="0054441D" w:rsidRPr="00D0502B" w:rsidRDefault="0054441D" w:rsidP="00C61557">
            <w:pPr>
              <w:pStyle w:val="Default"/>
              <w:jc w:val="center"/>
              <w:rPr>
                <w:b/>
                <w:color w:val="auto"/>
              </w:rPr>
            </w:pPr>
            <w:r w:rsidRPr="00D0502B">
              <w:rPr>
                <w:b/>
                <w:color w:val="auto"/>
              </w:rPr>
              <w:t>URL</w:t>
            </w:r>
          </w:p>
        </w:tc>
      </w:tr>
      <w:tr w:rsidR="0054441D" w:rsidRPr="00DD1DDD" w:rsidTr="00C61557">
        <w:tc>
          <w:tcPr>
            <w:tcW w:w="1286" w:type="dxa"/>
          </w:tcPr>
          <w:p w:rsidR="0054441D" w:rsidRPr="00D0502B" w:rsidRDefault="0054441D" w:rsidP="00C6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Microsoft Excel</w:t>
            </w:r>
          </w:p>
        </w:tc>
        <w:tc>
          <w:tcPr>
            <w:tcW w:w="4047" w:type="dxa"/>
          </w:tcPr>
          <w:p w:rsidR="0054441D" w:rsidRPr="00721486" w:rsidRDefault="0054441D" w:rsidP="00C61557">
            <w:pPr>
              <w:pStyle w:val="Quote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Style w:val="apple-style-span"/>
                <w:rFonts w:ascii="Times New Roman" w:hAnsi="Times New Roman"/>
                <w:i w:val="0"/>
                <w:color w:val="auto"/>
              </w:rPr>
              <w:t>D</w:t>
            </w:r>
            <w:r w:rsidRPr="00721486">
              <w:rPr>
                <w:rStyle w:val="apple-style-span"/>
                <w:rFonts w:ascii="Times New Roman" w:hAnsi="Times New Roman"/>
                <w:i w:val="0"/>
                <w:color w:val="auto"/>
              </w:rPr>
              <w:t xml:space="preserve">ata Analysis </w:t>
            </w:r>
            <w:proofErr w:type="spellStart"/>
            <w:r w:rsidRPr="00721486">
              <w:rPr>
                <w:rStyle w:val="apple-style-span"/>
                <w:rFonts w:ascii="Times New Roman" w:hAnsi="Times New Roman"/>
                <w:i w:val="0"/>
                <w:color w:val="auto"/>
              </w:rPr>
              <w:t>ToolPak</w:t>
            </w:r>
            <w:proofErr w:type="spellEnd"/>
            <w:r>
              <w:rPr>
                <w:rStyle w:val="apple-style-span"/>
                <w:rFonts w:ascii="Times New Roman" w:hAnsi="Times New Roman"/>
                <w:i w:val="0"/>
                <w:color w:val="auto"/>
              </w:rPr>
              <w:t xml:space="preserve"> for</w:t>
            </w:r>
            <w:r w:rsidRPr="00721486">
              <w:rPr>
                <w:rStyle w:val="apple-style-span"/>
                <w:rFonts w:ascii="Times New Roman" w:hAnsi="Times New Roman"/>
                <w:i w:val="0"/>
                <w:color w:val="auto"/>
              </w:rPr>
              <w:t xml:space="preserve"> complex statistical or engineering analyses</w:t>
            </w:r>
            <w:r w:rsidRPr="00721486">
              <w:rPr>
                <w:rStyle w:val="apple-converted-space"/>
                <w:rFonts w:ascii="Times New Roman" w:hAnsi="Times New Roman"/>
                <w:i w:val="0"/>
                <w:color w:val="auto"/>
              </w:rPr>
              <w:t> </w:t>
            </w:r>
          </w:p>
        </w:tc>
        <w:tc>
          <w:tcPr>
            <w:tcW w:w="4243" w:type="dxa"/>
          </w:tcPr>
          <w:p w:rsidR="0054441D" w:rsidRPr="00721486" w:rsidRDefault="0054441D" w:rsidP="00C61557">
            <w:pPr>
              <w:pStyle w:val="Quote"/>
              <w:rPr>
                <w:rFonts w:ascii="Times New Roman" w:hAnsi="Times New Roman"/>
                <w:i w:val="0"/>
                <w:color w:val="auto"/>
              </w:rPr>
            </w:pPr>
            <w:r w:rsidRPr="00721486">
              <w:rPr>
                <w:rFonts w:ascii="Times New Roman" w:hAnsi="Times New Roman"/>
                <w:i w:val="0"/>
                <w:color w:val="auto"/>
              </w:rPr>
              <w:t>http://office.microsoft.com/en-us/excel-help/about-statis</w:t>
            </w:r>
            <w:r>
              <w:rPr>
                <w:rFonts w:ascii="Times New Roman" w:hAnsi="Times New Roman"/>
                <w:i w:val="0"/>
                <w:color w:val="auto"/>
              </w:rPr>
              <w:t>tical-analysis-tools</w:t>
            </w:r>
            <w:r w:rsidRPr="00721486">
              <w:rPr>
                <w:rFonts w:ascii="Times New Roman" w:hAnsi="Times New Roman"/>
                <w:i w:val="0"/>
                <w:color w:val="auto"/>
              </w:rPr>
              <w:t>.aspx</w:t>
            </w:r>
          </w:p>
        </w:tc>
      </w:tr>
      <w:tr w:rsidR="0054441D" w:rsidRPr="00D0502B" w:rsidTr="00C6155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1D" w:rsidRPr="00D0502B" w:rsidRDefault="0054441D" w:rsidP="00C61557">
            <w:pPr>
              <w:pStyle w:val="Default"/>
              <w:rPr>
                <w:color w:val="auto"/>
              </w:rPr>
            </w:pPr>
            <w:r w:rsidRPr="00D0502B">
              <w:rPr>
                <w:color w:val="auto"/>
              </w:rPr>
              <w:t>Edu2.0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1D" w:rsidRPr="00D0502B" w:rsidRDefault="0054441D" w:rsidP="00C61557">
            <w:pPr>
              <w:pStyle w:val="Default"/>
              <w:rPr>
                <w:color w:val="auto"/>
              </w:rPr>
            </w:pPr>
            <w:r w:rsidRPr="00D0502B">
              <w:rPr>
                <w:rStyle w:val="apple-style-span"/>
                <w:color w:val="auto"/>
              </w:rPr>
              <w:t>Free cloud-hosted LMS+ with nothing to download or install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1D" w:rsidRDefault="0076687F" w:rsidP="00C61557">
            <w:pPr>
              <w:pStyle w:val="Default"/>
              <w:rPr>
                <w:color w:val="auto"/>
              </w:rPr>
            </w:pPr>
            <w:r w:rsidRPr="0076687F">
              <w:rPr>
                <w:color w:val="auto"/>
              </w:rPr>
              <w:t>http://apc.edu20.org/</w:t>
            </w:r>
            <w:r>
              <w:rPr>
                <w:color w:val="auto"/>
              </w:rPr>
              <w:t xml:space="preserve"> </w:t>
            </w:r>
          </w:p>
          <w:p w:rsidR="0076687F" w:rsidRPr="00D0502B" w:rsidRDefault="0076687F" w:rsidP="00C6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Registration code for students: </w:t>
            </w:r>
            <w:proofErr w:type="spellStart"/>
            <w:r>
              <w:rPr>
                <w:color w:val="auto"/>
              </w:rPr>
              <w:t>apcstudent</w:t>
            </w:r>
            <w:proofErr w:type="spellEnd"/>
          </w:p>
        </w:tc>
      </w:tr>
      <w:tr w:rsidR="0054441D" w:rsidRPr="00D0502B" w:rsidTr="00C6155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1D" w:rsidRPr="00D0502B" w:rsidRDefault="00F97ED9" w:rsidP="00911E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Cengage Learning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1D" w:rsidRPr="00D0502B" w:rsidRDefault="004E4F18" w:rsidP="00654CB2">
            <w:pPr>
              <w:pStyle w:val="Default"/>
              <w:rPr>
                <w:color w:val="auto"/>
              </w:rPr>
            </w:pPr>
            <w:r>
              <w:rPr>
                <w:rStyle w:val="apple-style-span"/>
                <w:color w:val="auto"/>
              </w:rPr>
              <w:t>Companion Website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1D" w:rsidRPr="004E4F18" w:rsidRDefault="00F97ED9" w:rsidP="00C61557">
            <w:pPr>
              <w:pStyle w:val="Quote"/>
              <w:rPr>
                <w:rFonts w:ascii="Times New Roman" w:hAnsi="Times New Roman"/>
                <w:i w:val="0"/>
                <w:color w:val="auto"/>
              </w:rPr>
            </w:pPr>
            <w:r w:rsidRPr="00F97ED9">
              <w:rPr>
                <w:rFonts w:ascii="Times New Roman" w:hAnsi="Times New Roman"/>
                <w:i w:val="0"/>
              </w:rPr>
              <w:t>http://www.cengage.com/students/</w:t>
            </w:r>
          </w:p>
        </w:tc>
      </w:tr>
    </w:tbl>
    <w:p w:rsidR="0054441D" w:rsidRDefault="0054441D" w:rsidP="0054441D">
      <w:pPr>
        <w:pStyle w:val="Default"/>
        <w:rPr>
          <w:color w:val="auto"/>
        </w:rPr>
      </w:pPr>
    </w:p>
    <w:p w:rsidR="005B141B" w:rsidRDefault="005B141B" w:rsidP="0054441D">
      <w:pPr>
        <w:pStyle w:val="Default"/>
        <w:rPr>
          <w:color w:val="auto"/>
        </w:rPr>
      </w:pPr>
    </w:p>
    <w:p w:rsidR="005B141B" w:rsidRDefault="005B141B" w:rsidP="0054441D">
      <w:pPr>
        <w:pStyle w:val="Default"/>
        <w:rPr>
          <w:color w:val="auto"/>
        </w:rPr>
      </w:pPr>
    </w:p>
    <w:p w:rsidR="005B141B" w:rsidRDefault="005B141B" w:rsidP="0054441D">
      <w:pPr>
        <w:pStyle w:val="Default"/>
        <w:rPr>
          <w:color w:val="auto"/>
        </w:rPr>
      </w:pPr>
    </w:p>
    <w:p w:rsidR="005B141B" w:rsidRDefault="005B141B" w:rsidP="0054441D">
      <w:pPr>
        <w:pStyle w:val="Default"/>
        <w:rPr>
          <w:color w:val="auto"/>
        </w:rPr>
      </w:pPr>
    </w:p>
    <w:p w:rsidR="005B141B" w:rsidRDefault="005B141B" w:rsidP="0054441D">
      <w:pPr>
        <w:pStyle w:val="Default"/>
        <w:rPr>
          <w:color w:val="auto"/>
        </w:rPr>
      </w:pPr>
    </w:p>
    <w:p w:rsidR="005B141B" w:rsidRDefault="005B141B" w:rsidP="0054441D">
      <w:pPr>
        <w:pStyle w:val="Default"/>
        <w:rPr>
          <w:color w:val="auto"/>
        </w:rPr>
      </w:pPr>
    </w:p>
    <w:p w:rsidR="005B141B" w:rsidRDefault="005B141B" w:rsidP="0054441D">
      <w:pPr>
        <w:pStyle w:val="Default"/>
        <w:rPr>
          <w:color w:val="auto"/>
        </w:rPr>
      </w:pPr>
      <w:bookmarkStart w:id="0" w:name="_GoBack"/>
      <w:bookmarkEnd w:id="0"/>
    </w:p>
    <w:p w:rsidR="00E20234" w:rsidRPr="00DD1DDD" w:rsidRDefault="00E20234" w:rsidP="0054441D">
      <w:pPr>
        <w:pStyle w:val="Default"/>
        <w:rPr>
          <w:color w:val="auto"/>
        </w:rPr>
      </w:pPr>
    </w:p>
    <w:p w:rsidR="0054441D" w:rsidRPr="00F950DC" w:rsidRDefault="0054441D" w:rsidP="0054441D">
      <w:pPr>
        <w:pStyle w:val="Default"/>
        <w:jc w:val="center"/>
        <w:rPr>
          <w:b/>
          <w:color w:val="auto"/>
        </w:rPr>
      </w:pPr>
      <w:r w:rsidRPr="00F950DC">
        <w:rPr>
          <w:b/>
          <w:color w:val="auto"/>
        </w:rPr>
        <w:t>ASSESSMENT</w:t>
      </w:r>
    </w:p>
    <w:p w:rsidR="0054441D" w:rsidRDefault="0054441D" w:rsidP="0054441D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6"/>
        <w:gridCol w:w="2484"/>
      </w:tblGrid>
      <w:tr w:rsidR="0054441D" w:rsidTr="00C61557">
        <w:tc>
          <w:tcPr>
            <w:tcW w:w="7038" w:type="dxa"/>
          </w:tcPr>
          <w:p w:rsidR="0054441D" w:rsidRPr="009164D7" w:rsidRDefault="0054441D" w:rsidP="00C61557">
            <w:pPr>
              <w:pStyle w:val="Default"/>
              <w:jc w:val="center"/>
              <w:rPr>
                <w:b/>
                <w:color w:val="auto"/>
              </w:rPr>
            </w:pPr>
            <w:r w:rsidRPr="009164D7">
              <w:rPr>
                <w:b/>
                <w:color w:val="auto"/>
              </w:rPr>
              <w:t>Factor</w:t>
            </w:r>
          </w:p>
        </w:tc>
        <w:tc>
          <w:tcPr>
            <w:tcW w:w="2538" w:type="dxa"/>
          </w:tcPr>
          <w:p w:rsidR="0054441D" w:rsidRPr="009164D7" w:rsidRDefault="0054441D" w:rsidP="00C61557">
            <w:pPr>
              <w:pStyle w:val="Default"/>
              <w:jc w:val="center"/>
              <w:rPr>
                <w:b/>
                <w:color w:val="auto"/>
              </w:rPr>
            </w:pPr>
            <w:r w:rsidRPr="009164D7">
              <w:rPr>
                <w:b/>
                <w:color w:val="auto"/>
              </w:rPr>
              <w:t>Weight</w:t>
            </w:r>
          </w:p>
        </w:tc>
      </w:tr>
      <w:tr w:rsidR="0054441D" w:rsidTr="00C61557">
        <w:tc>
          <w:tcPr>
            <w:tcW w:w="7038" w:type="dxa"/>
          </w:tcPr>
          <w:p w:rsidR="0054441D" w:rsidRPr="009164D7" w:rsidRDefault="00413FA2" w:rsidP="00C6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Case Analyses</w:t>
            </w:r>
          </w:p>
          <w:p w:rsidR="0054441D" w:rsidRPr="009164D7" w:rsidRDefault="00413FA2" w:rsidP="00413FA2">
            <w:pPr>
              <w:pStyle w:val="Default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Accuracy of solutions</w:t>
            </w:r>
            <w:r w:rsidR="0054441D" w:rsidRPr="009164D7">
              <w:rPr>
                <w:color w:val="auto"/>
              </w:rPr>
              <w:t xml:space="preserve"> </w:t>
            </w:r>
          </w:p>
        </w:tc>
        <w:tc>
          <w:tcPr>
            <w:tcW w:w="2538" w:type="dxa"/>
          </w:tcPr>
          <w:p w:rsidR="0054441D" w:rsidRPr="009164D7" w:rsidRDefault="00227030" w:rsidP="002270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95248A">
              <w:rPr>
                <w:color w:val="auto"/>
              </w:rPr>
              <w:t>0</w:t>
            </w:r>
            <w:r w:rsidR="0054441D" w:rsidRPr="009164D7">
              <w:rPr>
                <w:color w:val="auto"/>
              </w:rPr>
              <w:t>%</w:t>
            </w:r>
          </w:p>
        </w:tc>
      </w:tr>
      <w:tr w:rsidR="0054441D" w:rsidTr="00C61557">
        <w:tc>
          <w:tcPr>
            <w:tcW w:w="7038" w:type="dxa"/>
          </w:tcPr>
          <w:p w:rsidR="0054441D" w:rsidRPr="009164D7" w:rsidRDefault="00413FA2" w:rsidP="00C615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Exercises</w:t>
            </w:r>
            <w:r w:rsidR="00227030">
              <w:rPr>
                <w:color w:val="auto"/>
              </w:rPr>
              <w:t xml:space="preserve"> and Exams</w:t>
            </w:r>
          </w:p>
          <w:p w:rsidR="0054441D" w:rsidRPr="009164D7" w:rsidRDefault="00413FA2" w:rsidP="00413FA2">
            <w:pPr>
              <w:pStyle w:val="Default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Group or Individual Activities</w:t>
            </w:r>
          </w:p>
        </w:tc>
        <w:tc>
          <w:tcPr>
            <w:tcW w:w="2538" w:type="dxa"/>
          </w:tcPr>
          <w:p w:rsidR="0054441D" w:rsidRPr="009164D7" w:rsidRDefault="00227030" w:rsidP="002270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95248A">
              <w:rPr>
                <w:color w:val="auto"/>
              </w:rPr>
              <w:t>0</w:t>
            </w:r>
            <w:r w:rsidR="0054441D" w:rsidRPr="009164D7">
              <w:rPr>
                <w:color w:val="auto"/>
              </w:rPr>
              <w:t>%</w:t>
            </w:r>
          </w:p>
        </w:tc>
      </w:tr>
      <w:tr w:rsidR="0054441D" w:rsidTr="00C61557">
        <w:tc>
          <w:tcPr>
            <w:tcW w:w="7038" w:type="dxa"/>
          </w:tcPr>
          <w:p w:rsidR="009132C5" w:rsidRPr="009164D7" w:rsidRDefault="00413FA2" w:rsidP="009132C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Project</w:t>
            </w:r>
            <w:r w:rsidR="00227030">
              <w:rPr>
                <w:color w:val="auto"/>
              </w:rPr>
              <w:t xml:space="preserve"> Presentation</w:t>
            </w:r>
          </w:p>
          <w:p w:rsidR="0054441D" w:rsidRPr="009164D7" w:rsidRDefault="009132C5" w:rsidP="00413FA2">
            <w:pPr>
              <w:pStyle w:val="Default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413FA2">
              <w:rPr>
                <w:color w:val="auto"/>
              </w:rPr>
              <w:t xml:space="preserve">elivery </w:t>
            </w:r>
            <w:r>
              <w:rPr>
                <w:color w:val="auto"/>
              </w:rPr>
              <w:t>and</w:t>
            </w:r>
            <w:r w:rsidRPr="009164D7">
              <w:rPr>
                <w:color w:val="auto"/>
              </w:rPr>
              <w:t xml:space="preserve"> </w:t>
            </w:r>
            <w:r w:rsidR="00413FA2">
              <w:rPr>
                <w:color w:val="auto"/>
              </w:rPr>
              <w:t>teamwork</w:t>
            </w:r>
          </w:p>
        </w:tc>
        <w:tc>
          <w:tcPr>
            <w:tcW w:w="2538" w:type="dxa"/>
          </w:tcPr>
          <w:p w:rsidR="0054441D" w:rsidRPr="009164D7" w:rsidRDefault="00227030" w:rsidP="002270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4441D" w:rsidRPr="009164D7">
              <w:rPr>
                <w:color w:val="auto"/>
              </w:rPr>
              <w:t>0%</w:t>
            </w:r>
          </w:p>
        </w:tc>
      </w:tr>
      <w:tr w:rsidR="0054441D" w:rsidTr="00C61557">
        <w:tc>
          <w:tcPr>
            <w:tcW w:w="7038" w:type="dxa"/>
          </w:tcPr>
          <w:p w:rsidR="00413FA2" w:rsidRPr="009164D7" w:rsidRDefault="00413FA2" w:rsidP="00413F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Recitation</w:t>
            </w:r>
            <w:r w:rsidR="00227030">
              <w:rPr>
                <w:color w:val="auto"/>
              </w:rPr>
              <w:t xml:space="preserve"> and Participation</w:t>
            </w:r>
          </w:p>
          <w:p w:rsidR="0054441D" w:rsidRPr="009164D7" w:rsidRDefault="00413FA2" w:rsidP="00413FA2">
            <w:pPr>
              <w:pStyle w:val="Default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9164D7">
              <w:rPr>
                <w:color w:val="auto"/>
              </w:rPr>
              <w:t xml:space="preserve">iscussion </w:t>
            </w:r>
            <w:r>
              <w:rPr>
                <w:color w:val="auto"/>
              </w:rPr>
              <w:t>and</w:t>
            </w:r>
            <w:r w:rsidRPr="009164D7">
              <w:rPr>
                <w:color w:val="auto"/>
              </w:rPr>
              <w:t xml:space="preserve"> </w:t>
            </w:r>
            <w:r>
              <w:rPr>
                <w:color w:val="auto"/>
              </w:rPr>
              <w:t>attendance</w:t>
            </w:r>
          </w:p>
        </w:tc>
        <w:tc>
          <w:tcPr>
            <w:tcW w:w="2538" w:type="dxa"/>
          </w:tcPr>
          <w:p w:rsidR="0054441D" w:rsidRPr="009164D7" w:rsidRDefault="00413FA2" w:rsidP="00413F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54441D" w:rsidRPr="009164D7">
              <w:rPr>
                <w:color w:val="auto"/>
              </w:rPr>
              <w:t>0%</w:t>
            </w:r>
          </w:p>
        </w:tc>
      </w:tr>
      <w:tr w:rsidR="0054441D" w:rsidRPr="009164D7" w:rsidTr="00C61557">
        <w:tc>
          <w:tcPr>
            <w:tcW w:w="7038" w:type="dxa"/>
          </w:tcPr>
          <w:p w:rsidR="0054441D" w:rsidRPr="009164D7" w:rsidRDefault="0054441D" w:rsidP="00C61557">
            <w:pPr>
              <w:pStyle w:val="Default"/>
              <w:rPr>
                <w:b/>
                <w:color w:val="auto"/>
              </w:rPr>
            </w:pPr>
            <w:r w:rsidRPr="009164D7">
              <w:rPr>
                <w:b/>
                <w:color w:val="auto"/>
              </w:rPr>
              <w:t>Total</w:t>
            </w:r>
          </w:p>
        </w:tc>
        <w:tc>
          <w:tcPr>
            <w:tcW w:w="2538" w:type="dxa"/>
          </w:tcPr>
          <w:p w:rsidR="0054441D" w:rsidRPr="009164D7" w:rsidRDefault="0054441D" w:rsidP="00C61557">
            <w:pPr>
              <w:pStyle w:val="Default"/>
              <w:jc w:val="center"/>
              <w:rPr>
                <w:b/>
                <w:color w:val="auto"/>
              </w:rPr>
            </w:pPr>
            <w:r w:rsidRPr="009164D7">
              <w:rPr>
                <w:b/>
                <w:color w:val="auto"/>
              </w:rPr>
              <w:t>100%</w:t>
            </w:r>
          </w:p>
        </w:tc>
      </w:tr>
    </w:tbl>
    <w:p w:rsidR="0054441D" w:rsidRDefault="0054441D" w:rsidP="0054441D">
      <w:pPr>
        <w:pStyle w:val="Default"/>
        <w:rPr>
          <w:b/>
          <w:color w:val="auto"/>
        </w:rPr>
      </w:pPr>
    </w:p>
    <w:p w:rsidR="00E20234" w:rsidRPr="002A1242" w:rsidRDefault="00E20234" w:rsidP="0054441D">
      <w:pPr>
        <w:pStyle w:val="Default"/>
        <w:rPr>
          <w:b/>
          <w:color w:val="auto"/>
        </w:rPr>
      </w:pPr>
    </w:p>
    <w:p w:rsidR="0054441D" w:rsidRDefault="0054441D" w:rsidP="0054441D">
      <w:pPr>
        <w:pStyle w:val="Default"/>
        <w:rPr>
          <w:color w:val="auto"/>
        </w:rPr>
      </w:pPr>
    </w:p>
    <w:p w:rsidR="0054441D" w:rsidRPr="00D728B1" w:rsidRDefault="0054441D" w:rsidP="0054441D">
      <w:pPr>
        <w:pStyle w:val="Default"/>
        <w:jc w:val="center"/>
        <w:rPr>
          <w:b/>
          <w:color w:val="auto"/>
        </w:rPr>
      </w:pPr>
      <w:r w:rsidRPr="00D728B1">
        <w:rPr>
          <w:b/>
          <w:color w:val="auto"/>
        </w:rPr>
        <w:t>GRADING SYSTEM</w:t>
      </w:r>
    </w:p>
    <w:p w:rsidR="0054441D" w:rsidRDefault="0054441D" w:rsidP="0054441D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350"/>
        <w:gridCol w:w="2328"/>
        <w:gridCol w:w="2347"/>
      </w:tblGrid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b/>
                <w:bCs/>
                <w:color w:val="auto"/>
              </w:rPr>
              <w:t>Grade Point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b/>
                <w:bCs/>
                <w:color w:val="auto"/>
              </w:rPr>
              <w:t>Description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b/>
                <w:bCs/>
                <w:color w:val="auto"/>
              </w:rPr>
              <w:t>Letter Rating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b/>
                <w:bCs/>
                <w:color w:val="auto"/>
              </w:rPr>
              <w:t>Percentage Grade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4.0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Excellent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A</w:t>
            </w:r>
          </w:p>
        </w:tc>
        <w:tc>
          <w:tcPr>
            <w:tcW w:w="2394" w:type="dxa"/>
          </w:tcPr>
          <w:p w:rsidR="0054441D" w:rsidRPr="009164D7" w:rsidRDefault="0054441D" w:rsidP="00D9277B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9</w:t>
            </w:r>
            <w:r w:rsidR="00D9277B">
              <w:rPr>
                <w:color w:val="auto"/>
              </w:rPr>
              <w:t>7</w:t>
            </w:r>
            <w:r w:rsidRPr="009164D7">
              <w:rPr>
                <w:color w:val="auto"/>
              </w:rPr>
              <w:t>-100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3.5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Superior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B+</w:t>
            </w:r>
          </w:p>
        </w:tc>
        <w:tc>
          <w:tcPr>
            <w:tcW w:w="2394" w:type="dxa"/>
          </w:tcPr>
          <w:p w:rsidR="0054441D" w:rsidRPr="009164D7" w:rsidRDefault="0054441D" w:rsidP="00D9277B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9</w:t>
            </w:r>
            <w:r w:rsidR="00D9277B">
              <w:rPr>
                <w:color w:val="auto"/>
              </w:rPr>
              <w:t>3</w:t>
            </w:r>
            <w:r w:rsidRPr="009164D7">
              <w:rPr>
                <w:color w:val="auto"/>
              </w:rPr>
              <w:t>-9</w:t>
            </w:r>
            <w:r w:rsidR="00D9277B">
              <w:rPr>
                <w:color w:val="auto"/>
              </w:rPr>
              <w:t>6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3.0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Very Good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B</w:t>
            </w:r>
          </w:p>
        </w:tc>
        <w:tc>
          <w:tcPr>
            <w:tcW w:w="2394" w:type="dxa"/>
          </w:tcPr>
          <w:p w:rsidR="0054441D" w:rsidRPr="009164D7" w:rsidRDefault="0054441D" w:rsidP="00D9277B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8</w:t>
            </w:r>
            <w:r w:rsidR="00D9277B">
              <w:rPr>
                <w:color w:val="auto"/>
              </w:rPr>
              <w:t>9</w:t>
            </w:r>
            <w:r w:rsidRPr="009164D7">
              <w:rPr>
                <w:color w:val="auto"/>
              </w:rPr>
              <w:t>-</w:t>
            </w:r>
            <w:r w:rsidR="00D9277B">
              <w:rPr>
                <w:color w:val="auto"/>
              </w:rPr>
              <w:t>92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2.5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Good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B-</w:t>
            </w:r>
          </w:p>
        </w:tc>
        <w:tc>
          <w:tcPr>
            <w:tcW w:w="2394" w:type="dxa"/>
          </w:tcPr>
          <w:p w:rsidR="0054441D" w:rsidRPr="009164D7" w:rsidRDefault="00D9277B" w:rsidP="00D9277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54441D" w:rsidRPr="009164D7">
              <w:rPr>
                <w:color w:val="auto"/>
              </w:rPr>
              <w:t>-8</w:t>
            </w:r>
            <w:r>
              <w:rPr>
                <w:color w:val="auto"/>
              </w:rPr>
              <w:t>8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2.0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Satisfactory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C</w:t>
            </w:r>
            <w:r>
              <w:rPr>
                <w:color w:val="auto"/>
              </w:rPr>
              <w:t>+</w:t>
            </w:r>
          </w:p>
        </w:tc>
        <w:tc>
          <w:tcPr>
            <w:tcW w:w="2394" w:type="dxa"/>
          </w:tcPr>
          <w:p w:rsidR="0054441D" w:rsidRPr="009164D7" w:rsidRDefault="00D9277B" w:rsidP="00D9277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  <w:r w:rsidR="0054441D" w:rsidRPr="009164D7">
              <w:rPr>
                <w:color w:val="auto"/>
              </w:rPr>
              <w:t>-</w:t>
            </w:r>
            <w:r>
              <w:rPr>
                <w:color w:val="auto"/>
              </w:rPr>
              <w:t>84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1.5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Fair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C</w:t>
            </w:r>
          </w:p>
        </w:tc>
        <w:tc>
          <w:tcPr>
            <w:tcW w:w="2394" w:type="dxa"/>
          </w:tcPr>
          <w:p w:rsidR="0054441D" w:rsidRPr="009164D7" w:rsidRDefault="00D9277B" w:rsidP="00D9277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  <w:r w:rsidR="0054441D" w:rsidRPr="009164D7">
              <w:rPr>
                <w:color w:val="auto"/>
              </w:rPr>
              <w:t>-7</w:t>
            </w:r>
            <w:r>
              <w:rPr>
                <w:color w:val="auto"/>
              </w:rPr>
              <w:t>9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1.0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Pass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D</w:t>
            </w:r>
          </w:p>
        </w:tc>
        <w:tc>
          <w:tcPr>
            <w:tcW w:w="2394" w:type="dxa"/>
          </w:tcPr>
          <w:p w:rsidR="0054441D" w:rsidRPr="009164D7" w:rsidRDefault="00D9277B" w:rsidP="00D9277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54441D" w:rsidRPr="009164D7">
              <w:rPr>
                <w:color w:val="auto"/>
              </w:rPr>
              <w:t>0-</w:t>
            </w:r>
            <w:r>
              <w:rPr>
                <w:color w:val="auto"/>
              </w:rPr>
              <w:t>74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R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Repeat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394" w:type="dxa"/>
          </w:tcPr>
          <w:p w:rsidR="0054441D" w:rsidRPr="009164D7" w:rsidRDefault="0054441D" w:rsidP="00D9277B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&lt;</w:t>
            </w:r>
            <w:r w:rsidR="00D9277B">
              <w:rPr>
                <w:color w:val="auto"/>
              </w:rPr>
              <w:t>7</w:t>
            </w:r>
            <w:r w:rsidRPr="009164D7">
              <w:rPr>
                <w:color w:val="auto"/>
              </w:rPr>
              <w:t>0</w:t>
            </w:r>
          </w:p>
        </w:tc>
      </w:tr>
      <w:tr w:rsidR="0054441D" w:rsidTr="00C61557"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0.0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Fail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  <w:r w:rsidRPr="009164D7">
              <w:rPr>
                <w:color w:val="auto"/>
              </w:rPr>
              <w:t>F</w:t>
            </w:r>
          </w:p>
        </w:tc>
        <w:tc>
          <w:tcPr>
            <w:tcW w:w="2394" w:type="dxa"/>
          </w:tcPr>
          <w:p w:rsidR="0054441D" w:rsidRPr="009164D7" w:rsidRDefault="0054441D" w:rsidP="00C6155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F561FA" w:rsidRPr="00F442D9" w:rsidRDefault="00F561FA" w:rsidP="0027103D">
      <w:pPr>
        <w:pStyle w:val="Default"/>
        <w:tabs>
          <w:tab w:val="left" w:pos="2520"/>
          <w:tab w:val="left" w:pos="4320"/>
          <w:tab w:val="left" w:pos="6480"/>
        </w:tabs>
        <w:spacing w:line="253" w:lineRule="atLeast"/>
        <w:jc w:val="both"/>
        <w:outlineLvl w:val="0"/>
        <w:rPr>
          <w:color w:val="auto"/>
        </w:rPr>
      </w:pPr>
      <w:r w:rsidRPr="00F442D9">
        <w:rPr>
          <w:b/>
          <w:bCs/>
          <w:color w:val="auto"/>
        </w:rPr>
        <w:t xml:space="preserve"> </w:t>
      </w:r>
    </w:p>
    <w:sectPr w:rsidR="00F561FA" w:rsidRPr="00F442D9" w:rsidSect="00223D13">
      <w:footerReference w:type="default" r:id="rId9"/>
      <w:pgSz w:w="12240" w:h="16340"/>
      <w:pgMar w:top="1440" w:right="1440" w:bottom="144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BF" w:rsidRDefault="000A56BF">
      <w:r>
        <w:separator/>
      </w:r>
    </w:p>
  </w:endnote>
  <w:endnote w:type="continuationSeparator" w:id="0">
    <w:p w:rsidR="000A56BF" w:rsidRDefault="000A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13" w:rsidRPr="00EE79C1" w:rsidRDefault="00223D13" w:rsidP="006A427D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Calibri" w:hAnsi="Calibri"/>
        <w:sz w:val="18"/>
      </w:rPr>
    </w:pPr>
    <w:r w:rsidRPr="00EE79C1">
      <w:rPr>
        <w:rFonts w:ascii="Calibri" w:hAnsi="Calibri"/>
        <w:sz w:val="18"/>
      </w:rPr>
      <w:tab/>
      <w:t xml:space="preserve">Page </w:t>
    </w:r>
    <w:r w:rsidRPr="00EE79C1">
      <w:rPr>
        <w:rFonts w:ascii="Calibri" w:hAnsi="Calibri"/>
        <w:sz w:val="18"/>
      </w:rPr>
      <w:fldChar w:fldCharType="begin"/>
    </w:r>
    <w:r w:rsidRPr="00EE79C1">
      <w:rPr>
        <w:rFonts w:ascii="Calibri" w:hAnsi="Calibri"/>
        <w:sz w:val="18"/>
      </w:rPr>
      <w:instrText xml:space="preserve"> PAGE </w:instrText>
    </w:r>
    <w:r w:rsidRPr="00EE79C1">
      <w:rPr>
        <w:rFonts w:ascii="Calibri" w:hAnsi="Calibri"/>
        <w:sz w:val="18"/>
      </w:rPr>
      <w:fldChar w:fldCharType="separate"/>
    </w:r>
    <w:r w:rsidR="005B141B">
      <w:rPr>
        <w:rFonts w:ascii="Calibri" w:hAnsi="Calibri"/>
        <w:noProof/>
        <w:sz w:val="18"/>
      </w:rPr>
      <w:t>4</w:t>
    </w:r>
    <w:r w:rsidRPr="00EE79C1">
      <w:rPr>
        <w:rFonts w:ascii="Calibri" w:hAnsi="Calibri"/>
        <w:sz w:val="18"/>
      </w:rPr>
      <w:fldChar w:fldCharType="end"/>
    </w:r>
    <w:r w:rsidRPr="00EE79C1">
      <w:rPr>
        <w:rFonts w:ascii="Calibri" w:hAnsi="Calibri"/>
        <w:sz w:val="18"/>
      </w:rPr>
      <w:t xml:space="preserve"> of </w:t>
    </w:r>
    <w:r w:rsidRPr="00EE79C1">
      <w:rPr>
        <w:rFonts w:ascii="Calibri" w:hAnsi="Calibri"/>
        <w:sz w:val="18"/>
      </w:rPr>
      <w:fldChar w:fldCharType="begin"/>
    </w:r>
    <w:r w:rsidRPr="00EE79C1">
      <w:rPr>
        <w:rFonts w:ascii="Calibri" w:hAnsi="Calibri"/>
        <w:sz w:val="18"/>
      </w:rPr>
      <w:instrText xml:space="preserve"> NUMPAGES </w:instrText>
    </w:r>
    <w:r w:rsidRPr="00EE79C1">
      <w:rPr>
        <w:rFonts w:ascii="Calibri" w:hAnsi="Calibri"/>
        <w:sz w:val="18"/>
      </w:rPr>
      <w:fldChar w:fldCharType="separate"/>
    </w:r>
    <w:r w:rsidR="005B141B">
      <w:rPr>
        <w:rFonts w:ascii="Calibri" w:hAnsi="Calibri"/>
        <w:noProof/>
        <w:sz w:val="18"/>
      </w:rPr>
      <w:t>4</w:t>
    </w:r>
    <w:r w:rsidRPr="00EE79C1">
      <w:rPr>
        <w:rFonts w:ascii="Calibri" w:hAnsi="Calibri"/>
        <w:sz w:val="18"/>
      </w:rPr>
      <w:fldChar w:fldCharType="end"/>
    </w:r>
    <w:r w:rsidRPr="00EE79C1">
      <w:rPr>
        <w:rFonts w:ascii="Calibri" w:hAnsi="Calibri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BF" w:rsidRDefault="000A56BF">
      <w:r>
        <w:separator/>
      </w:r>
    </w:p>
  </w:footnote>
  <w:footnote w:type="continuationSeparator" w:id="0">
    <w:p w:rsidR="000A56BF" w:rsidRDefault="000A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0DC3AD"/>
    <w:multiLevelType w:val="hybridMultilevel"/>
    <w:tmpl w:val="7CDC26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E52FBC"/>
    <w:multiLevelType w:val="hybridMultilevel"/>
    <w:tmpl w:val="C95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40F2"/>
    <w:multiLevelType w:val="multilevel"/>
    <w:tmpl w:val="A7CE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C627D"/>
    <w:multiLevelType w:val="multilevel"/>
    <w:tmpl w:val="2756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97322"/>
    <w:multiLevelType w:val="hybridMultilevel"/>
    <w:tmpl w:val="188E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563B"/>
    <w:multiLevelType w:val="hybridMultilevel"/>
    <w:tmpl w:val="4D74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2ECC"/>
    <w:multiLevelType w:val="hybridMultilevel"/>
    <w:tmpl w:val="F8F2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58E3"/>
    <w:multiLevelType w:val="multilevel"/>
    <w:tmpl w:val="907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608EF"/>
    <w:multiLevelType w:val="hybridMultilevel"/>
    <w:tmpl w:val="7C3C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13AFC"/>
    <w:multiLevelType w:val="hybridMultilevel"/>
    <w:tmpl w:val="A11C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D3700"/>
    <w:multiLevelType w:val="hybridMultilevel"/>
    <w:tmpl w:val="7088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BC7"/>
    <w:multiLevelType w:val="multilevel"/>
    <w:tmpl w:val="D2E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359CD"/>
    <w:multiLevelType w:val="multilevel"/>
    <w:tmpl w:val="D29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96AF8"/>
    <w:multiLevelType w:val="multilevel"/>
    <w:tmpl w:val="AF9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6272A"/>
    <w:multiLevelType w:val="hybridMultilevel"/>
    <w:tmpl w:val="CA6C0702"/>
    <w:lvl w:ilvl="0" w:tplc="F146B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6EF6"/>
    <w:multiLevelType w:val="hybridMultilevel"/>
    <w:tmpl w:val="BE22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61B8B"/>
    <w:multiLevelType w:val="hybridMultilevel"/>
    <w:tmpl w:val="CEE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C09D9"/>
    <w:multiLevelType w:val="multilevel"/>
    <w:tmpl w:val="E8AC9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134AB"/>
    <w:multiLevelType w:val="multilevel"/>
    <w:tmpl w:val="62D4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679A6"/>
    <w:multiLevelType w:val="multilevel"/>
    <w:tmpl w:val="2C76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75EE5"/>
    <w:multiLevelType w:val="hybridMultilevel"/>
    <w:tmpl w:val="C592D3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32441C8"/>
    <w:multiLevelType w:val="hybridMultilevel"/>
    <w:tmpl w:val="B0E4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1168E"/>
    <w:multiLevelType w:val="multilevel"/>
    <w:tmpl w:val="F73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754544"/>
    <w:multiLevelType w:val="hybridMultilevel"/>
    <w:tmpl w:val="DCE2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219F8"/>
    <w:multiLevelType w:val="multilevel"/>
    <w:tmpl w:val="1FFC6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D34C0C"/>
    <w:multiLevelType w:val="hybridMultilevel"/>
    <w:tmpl w:val="A5D50DB7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76443B6"/>
    <w:multiLevelType w:val="multilevel"/>
    <w:tmpl w:val="C07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D402F2"/>
    <w:multiLevelType w:val="hybridMultilevel"/>
    <w:tmpl w:val="579A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06135"/>
    <w:multiLevelType w:val="multilevel"/>
    <w:tmpl w:val="6F0A4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8C520E"/>
    <w:multiLevelType w:val="multilevel"/>
    <w:tmpl w:val="3762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2192A"/>
    <w:multiLevelType w:val="multilevel"/>
    <w:tmpl w:val="225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17"/>
  </w:num>
  <w:num w:numId="5">
    <w:abstractNumId w:val="5"/>
  </w:num>
  <w:num w:numId="6">
    <w:abstractNumId w:val="10"/>
  </w:num>
  <w:num w:numId="7">
    <w:abstractNumId w:val="27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6"/>
  </w:num>
  <w:num w:numId="15">
    <w:abstractNumId w:val="21"/>
  </w:num>
  <w:num w:numId="16">
    <w:abstractNumId w:val="23"/>
  </w:num>
  <w:num w:numId="17">
    <w:abstractNumId w:val="24"/>
  </w:num>
  <w:num w:numId="18">
    <w:abstractNumId w:val="13"/>
  </w:num>
  <w:num w:numId="19">
    <w:abstractNumId w:val="14"/>
  </w:num>
  <w:num w:numId="20">
    <w:abstractNumId w:val="29"/>
  </w:num>
  <w:num w:numId="21">
    <w:abstractNumId w:val="30"/>
  </w:num>
  <w:num w:numId="22">
    <w:abstractNumId w:val="19"/>
  </w:num>
  <w:num w:numId="23">
    <w:abstractNumId w:val="11"/>
  </w:num>
  <w:num w:numId="24">
    <w:abstractNumId w:val="26"/>
  </w:num>
  <w:num w:numId="25">
    <w:abstractNumId w:val="7"/>
  </w:num>
  <w:num w:numId="26">
    <w:abstractNumId w:val="2"/>
  </w:num>
  <w:num w:numId="27">
    <w:abstractNumId w:val="12"/>
  </w:num>
  <w:num w:numId="28">
    <w:abstractNumId w:val="18"/>
  </w:num>
  <w:num w:numId="29">
    <w:abstractNumId w:val="3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E2"/>
    <w:rsid w:val="0001543F"/>
    <w:rsid w:val="000314C2"/>
    <w:rsid w:val="00033D19"/>
    <w:rsid w:val="0003715C"/>
    <w:rsid w:val="00056D57"/>
    <w:rsid w:val="000959C9"/>
    <w:rsid w:val="0009735A"/>
    <w:rsid w:val="000A5277"/>
    <w:rsid w:val="000A56BF"/>
    <w:rsid w:val="000B3853"/>
    <w:rsid w:val="000E1506"/>
    <w:rsid w:val="000E5CD4"/>
    <w:rsid w:val="000E6C62"/>
    <w:rsid w:val="001010DB"/>
    <w:rsid w:val="00104949"/>
    <w:rsid w:val="001117E0"/>
    <w:rsid w:val="001408B2"/>
    <w:rsid w:val="001422D3"/>
    <w:rsid w:val="00142BE7"/>
    <w:rsid w:val="00151ED7"/>
    <w:rsid w:val="00171E22"/>
    <w:rsid w:val="00172F44"/>
    <w:rsid w:val="00185731"/>
    <w:rsid w:val="00193BB2"/>
    <w:rsid w:val="001A2AA3"/>
    <w:rsid w:val="001A3B95"/>
    <w:rsid w:val="001A5334"/>
    <w:rsid w:val="001B4BED"/>
    <w:rsid w:val="001C3A20"/>
    <w:rsid w:val="001E53F0"/>
    <w:rsid w:val="002036F4"/>
    <w:rsid w:val="00223D13"/>
    <w:rsid w:val="00227030"/>
    <w:rsid w:val="00227BD2"/>
    <w:rsid w:val="002325AA"/>
    <w:rsid w:val="00233E93"/>
    <w:rsid w:val="00236DED"/>
    <w:rsid w:val="00261B1D"/>
    <w:rsid w:val="0027103D"/>
    <w:rsid w:val="00290B71"/>
    <w:rsid w:val="002A1242"/>
    <w:rsid w:val="002A2BA4"/>
    <w:rsid w:val="002C21AA"/>
    <w:rsid w:val="002F78D6"/>
    <w:rsid w:val="00325ADA"/>
    <w:rsid w:val="003271F7"/>
    <w:rsid w:val="0034548B"/>
    <w:rsid w:val="003535CC"/>
    <w:rsid w:val="00361309"/>
    <w:rsid w:val="00366502"/>
    <w:rsid w:val="00367324"/>
    <w:rsid w:val="003723C6"/>
    <w:rsid w:val="0038391E"/>
    <w:rsid w:val="003B2A62"/>
    <w:rsid w:val="003B3B90"/>
    <w:rsid w:val="003B60B2"/>
    <w:rsid w:val="003C4B9A"/>
    <w:rsid w:val="003D1661"/>
    <w:rsid w:val="003E6CC7"/>
    <w:rsid w:val="004049FF"/>
    <w:rsid w:val="00413FA2"/>
    <w:rsid w:val="0043090C"/>
    <w:rsid w:val="004903B6"/>
    <w:rsid w:val="004E375C"/>
    <w:rsid w:val="004E4F18"/>
    <w:rsid w:val="004F46E1"/>
    <w:rsid w:val="00517971"/>
    <w:rsid w:val="005221F4"/>
    <w:rsid w:val="0052386B"/>
    <w:rsid w:val="00530683"/>
    <w:rsid w:val="0054441D"/>
    <w:rsid w:val="0054484A"/>
    <w:rsid w:val="00561866"/>
    <w:rsid w:val="00565EA8"/>
    <w:rsid w:val="00592E0A"/>
    <w:rsid w:val="00593A22"/>
    <w:rsid w:val="005A0DF9"/>
    <w:rsid w:val="005A5957"/>
    <w:rsid w:val="005B141B"/>
    <w:rsid w:val="005D0FEA"/>
    <w:rsid w:val="005D4461"/>
    <w:rsid w:val="005E1482"/>
    <w:rsid w:val="005E34C4"/>
    <w:rsid w:val="005E4D27"/>
    <w:rsid w:val="00605037"/>
    <w:rsid w:val="00637A1D"/>
    <w:rsid w:val="00646C15"/>
    <w:rsid w:val="00646E1A"/>
    <w:rsid w:val="006534C8"/>
    <w:rsid w:val="00654CB2"/>
    <w:rsid w:val="00664738"/>
    <w:rsid w:val="0069750E"/>
    <w:rsid w:val="006A427D"/>
    <w:rsid w:val="006A4B5D"/>
    <w:rsid w:val="006A6974"/>
    <w:rsid w:val="006B1A9F"/>
    <w:rsid w:val="006B208E"/>
    <w:rsid w:val="006C0B0D"/>
    <w:rsid w:val="006D6B65"/>
    <w:rsid w:val="006E596D"/>
    <w:rsid w:val="00703368"/>
    <w:rsid w:val="00705099"/>
    <w:rsid w:val="00724177"/>
    <w:rsid w:val="0076687F"/>
    <w:rsid w:val="007A35D9"/>
    <w:rsid w:val="007B0F00"/>
    <w:rsid w:val="007E3642"/>
    <w:rsid w:val="007F103E"/>
    <w:rsid w:val="00874BEE"/>
    <w:rsid w:val="00883AEF"/>
    <w:rsid w:val="00884254"/>
    <w:rsid w:val="008843AF"/>
    <w:rsid w:val="008854F8"/>
    <w:rsid w:val="008B0169"/>
    <w:rsid w:val="008B2027"/>
    <w:rsid w:val="008C1FB6"/>
    <w:rsid w:val="008D1F4E"/>
    <w:rsid w:val="008E28CC"/>
    <w:rsid w:val="008F265C"/>
    <w:rsid w:val="00905413"/>
    <w:rsid w:val="00911EA8"/>
    <w:rsid w:val="009132C5"/>
    <w:rsid w:val="00913344"/>
    <w:rsid w:val="0091636A"/>
    <w:rsid w:val="009164D7"/>
    <w:rsid w:val="00937B34"/>
    <w:rsid w:val="0095248A"/>
    <w:rsid w:val="00953C86"/>
    <w:rsid w:val="00974DA0"/>
    <w:rsid w:val="00974EFC"/>
    <w:rsid w:val="009B31DA"/>
    <w:rsid w:val="009B412C"/>
    <w:rsid w:val="009C02B8"/>
    <w:rsid w:val="009D2F6F"/>
    <w:rsid w:val="00A12595"/>
    <w:rsid w:val="00A162E6"/>
    <w:rsid w:val="00A2602B"/>
    <w:rsid w:val="00A310D1"/>
    <w:rsid w:val="00A365C9"/>
    <w:rsid w:val="00A41892"/>
    <w:rsid w:val="00A51703"/>
    <w:rsid w:val="00A611ED"/>
    <w:rsid w:val="00A64155"/>
    <w:rsid w:val="00A723C6"/>
    <w:rsid w:val="00A7281A"/>
    <w:rsid w:val="00AA3CD3"/>
    <w:rsid w:val="00AA7470"/>
    <w:rsid w:val="00AB2C76"/>
    <w:rsid w:val="00AD252A"/>
    <w:rsid w:val="00AD3D9C"/>
    <w:rsid w:val="00B0416D"/>
    <w:rsid w:val="00B2737D"/>
    <w:rsid w:val="00B31CF1"/>
    <w:rsid w:val="00B372F9"/>
    <w:rsid w:val="00B37594"/>
    <w:rsid w:val="00B4184D"/>
    <w:rsid w:val="00B5263D"/>
    <w:rsid w:val="00B55A7C"/>
    <w:rsid w:val="00B64CFC"/>
    <w:rsid w:val="00B90EE6"/>
    <w:rsid w:val="00B93AC3"/>
    <w:rsid w:val="00B97F51"/>
    <w:rsid w:val="00BD1E72"/>
    <w:rsid w:val="00BE211F"/>
    <w:rsid w:val="00BE5F03"/>
    <w:rsid w:val="00C11603"/>
    <w:rsid w:val="00C32CF4"/>
    <w:rsid w:val="00C35FE2"/>
    <w:rsid w:val="00C50EE7"/>
    <w:rsid w:val="00C61557"/>
    <w:rsid w:val="00C70A2E"/>
    <w:rsid w:val="00C70ABD"/>
    <w:rsid w:val="00C85317"/>
    <w:rsid w:val="00CB4210"/>
    <w:rsid w:val="00CB78A9"/>
    <w:rsid w:val="00CC020F"/>
    <w:rsid w:val="00CC06BE"/>
    <w:rsid w:val="00CC22B7"/>
    <w:rsid w:val="00CD3FE0"/>
    <w:rsid w:val="00CD5F3C"/>
    <w:rsid w:val="00CE00DA"/>
    <w:rsid w:val="00CE7AAB"/>
    <w:rsid w:val="00D00508"/>
    <w:rsid w:val="00D0502B"/>
    <w:rsid w:val="00D14E0F"/>
    <w:rsid w:val="00D27DE5"/>
    <w:rsid w:val="00D42626"/>
    <w:rsid w:val="00D676E2"/>
    <w:rsid w:val="00D728B1"/>
    <w:rsid w:val="00D774EC"/>
    <w:rsid w:val="00D83825"/>
    <w:rsid w:val="00D86945"/>
    <w:rsid w:val="00D906F3"/>
    <w:rsid w:val="00D9277B"/>
    <w:rsid w:val="00DA7555"/>
    <w:rsid w:val="00DC7BAB"/>
    <w:rsid w:val="00DC7D0B"/>
    <w:rsid w:val="00DD1DDD"/>
    <w:rsid w:val="00DF1848"/>
    <w:rsid w:val="00E073F2"/>
    <w:rsid w:val="00E11A8C"/>
    <w:rsid w:val="00E20234"/>
    <w:rsid w:val="00E3158B"/>
    <w:rsid w:val="00E460CF"/>
    <w:rsid w:val="00E57481"/>
    <w:rsid w:val="00E70E44"/>
    <w:rsid w:val="00E80F86"/>
    <w:rsid w:val="00E81598"/>
    <w:rsid w:val="00E81799"/>
    <w:rsid w:val="00EB2689"/>
    <w:rsid w:val="00EB4A82"/>
    <w:rsid w:val="00ED3A98"/>
    <w:rsid w:val="00EE3CA5"/>
    <w:rsid w:val="00EE79C1"/>
    <w:rsid w:val="00F13D19"/>
    <w:rsid w:val="00F34540"/>
    <w:rsid w:val="00F406FE"/>
    <w:rsid w:val="00F442D9"/>
    <w:rsid w:val="00F447BF"/>
    <w:rsid w:val="00F54B05"/>
    <w:rsid w:val="00F561FA"/>
    <w:rsid w:val="00F666AB"/>
    <w:rsid w:val="00F82FAA"/>
    <w:rsid w:val="00F9154E"/>
    <w:rsid w:val="00F950DC"/>
    <w:rsid w:val="00F97ED9"/>
    <w:rsid w:val="00FA48E1"/>
    <w:rsid w:val="00FB1F23"/>
    <w:rsid w:val="00FC2B9F"/>
    <w:rsid w:val="00FC5461"/>
    <w:rsid w:val="00FC5C33"/>
    <w:rsid w:val="00FE0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9D00-DE2F-4352-A6A2-0B0C1FA5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l-PH" w:eastAsia="fil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CD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36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A3CD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semiHidden/>
    <w:rsid w:val="00EE79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79C1"/>
    <w:rPr>
      <w:rFonts w:ascii="Cambria" w:eastAsia="Times New Roman" w:hAnsi="Cambria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E7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79C1"/>
    <w:rPr>
      <w:rFonts w:ascii="Cambria" w:eastAsia="Times New Roman" w:hAnsi="Cambria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B372F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372F9"/>
    <w:rPr>
      <w:rFonts w:ascii="Lucida Grande" w:eastAsia="Times New Roman" w:hAnsi="Lucida Grande" w:cs="Times New Roman"/>
      <w:sz w:val="24"/>
    </w:rPr>
  </w:style>
  <w:style w:type="table" w:styleId="TableGrid">
    <w:name w:val="Table Grid"/>
    <w:basedOn w:val="TableNormal"/>
    <w:uiPriority w:val="99"/>
    <w:rsid w:val="00B37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B90EE6"/>
  </w:style>
  <w:style w:type="character" w:customStyle="1" w:styleId="apple-style-span">
    <w:name w:val="apple-style-span"/>
    <w:basedOn w:val="DefaultParagraphFont"/>
    <w:rsid w:val="00B90EE6"/>
  </w:style>
  <w:style w:type="character" w:styleId="Emphasis">
    <w:name w:val="Emphasis"/>
    <w:basedOn w:val="DefaultParagraphFont"/>
    <w:uiPriority w:val="20"/>
    <w:qFormat/>
    <w:rsid w:val="00B90EE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48E1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A48E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A48E1"/>
    <w:pPr>
      <w:ind w:left="720"/>
    </w:pPr>
  </w:style>
  <w:style w:type="paragraph" w:customStyle="1" w:styleId="Style1">
    <w:name w:val="Style1"/>
    <w:basedOn w:val="ListParagraph"/>
    <w:link w:val="Style1Char"/>
    <w:qFormat/>
    <w:rsid w:val="00FA48E1"/>
  </w:style>
  <w:style w:type="paragraph" w:styleId="Quote">
    <w:name w:val="Quote"/>
    <w:basedOn w:val="Normal"/>
    <w:next w:val="Normal"/>
    <w:link w:val="QuoteChar"/>
    <w:uiPriority w:val="29"/>
    <w:qFormat/>
    <w:rsid w:val="00FA48E1"/>
    <w:rPr>
      <w:i/>
      <w:iCs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8E1"/>
    <w:rPr>
      <w:rFonts w:ascii="Cambria" w:hAnsi="Cambria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FA48E1"/>
    <w:rPr>
      <w:rFonts w:ascii="Cambria" w:hAnsi="Cambri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48E1"/>
    <w:rPr>
      <w:rFonts w:ascii="Cambria" w:hAnsi="Cambria"/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A3CD3"/>
    <w:rPr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7E3642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3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w-headline">
    <w:name w:val="mw-headline"/>
    <w:basedOn w:val="DefaultParagraphFont"/>
    <w:rsid w:val="0091636A"/>
  </w:style>
  <w:style w:type="character" w:customStyle="1" w:styleId="Heading1Char">
    <w:name w:val="Heading 1 Char"/>
    <w:basedOn w:val="DefaultParagraphFont"/>
    <w:link w:val="Heading1"/>
    <w:uiPriority w:val="9"/>
    <w:rsid w:val="000E5C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omepagetitle">
    <w:name w:val="homepagetitle"/>
    <w:basedOn w:val="DefaultParagraphFont"/>
    <w:rsid w:val="000E5CD4"/>
  </w:style>
  <w:style w:type="character" w:styleId="SubtleEmphasis">
    <w:name w:val="Subtle Emphasis"/>
    <w:basedOn w:val="DefaultParagraphFont"/>
    <w:uiPriority w:val="19"/>
    <w:qFormat/>
    <w:rsid w:val="00E80F86"/>
    <w:rPr>
      <w:i/>
      <w:iCs/>
      <w:color w:val="808080"/>
    </w:rPr>
  </w:style>
  <w:style w:type="character" w:styleId="Strong">
    <w:name w:val="Strong"/>
    <w:basedOn w:val="DefaultParagraphFont"/>
    <w:uiPriority w:val="22"/>
    <w:qFormat/>
    <w:rsid w:val="00E80F86"/>
    <w:rPr>
      <w:b/>
      <w:bCs/>
    </w:rPr>
  </w:style>
  <w:style w:type="character" w:customStyle="1" w:styleId="largerbodybold">
    <w:name w:val="largerbodybold"/>
    <w:basedOn w:val="DefaultParagraphFont"/>
    <w:rsid w:val="00646C15"/>
  </w:style>
  <w:style w:type="character" w:customStyle="1" w:styleId="booktitle">
    <w:name w:val="booktitle"/>
    <w:basedOn w:val="DefaultParagraphFont"/>
    <w:rsid w:val="00A64155"/>
  </w:style>
  <w:style w:type="character" w:customStyle="1" w:styleId="bookauthor">
    <w:name w:val="bookauthor"/>
    <w:basedOn w:val="DefaultParagraphFont"/>
    <w:rsid w:val="00A6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ccount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MSORMAN Learning Contract - 1st Term - AY10-11 - 12 Jun 2010.doc</vt:lpstr>
    </vt:vector>
  </TitlesOfParts>
  <Company/>
  <LinksUpToDate>false</LinksUpToDate>
  <CharactersWithSpaces>5048</CharactersWithSpaces>
  <SharedDoc>false</SharedDoc>
  <HLinks>
    <vt:vector size="12" baseType="variant">
      <vt:variant>
        <vt:i4>1835023</vt:i4>
      </vt:variant>
      <vt:variant>
        <vt:i4>3</vt:i4>
      </vt:variant>
      <vt:variant>
        <vt:i4>0</vt:i4>
      </vt:variant>
      <vt:variant>
        <vt:i4>5</vt:i4>
      </vt:variant>
      <vt:variant>
        <vt:lpwstr>http://www.pearsoned.co.uk/bookshop/Results.asp?iCurPage=1&amp;Type=1&amp;Author=Jan+Bergstrand&amp;Download=1&amp;SearchTerm=Jan+Bergstrand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http://en.wikipedia.org/wiki/Accounting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MSORMAN Learning Contract - 1st Term - AY10-11 - 12 Jun 2010.doc</dc:title>
  <dc:subject/>
  <dc:creator>APC-MM</dc:creator>
  <cp:keywords/>
  <cp:lastModifiedBy>Microsoft Windows8.1</cp:lastModifiedBy>
  <cp:revision>31</cp:revision>
  <cp:lastPrinted>2010-06-21T08:34:00Z</cp:lastPrinted>
  <dcterms:created xsi:type="dcterms:W3CDTF">2015-09-11T13:06:00Z</dcterms:created>
  <dcterms:modified xsi:type="dcterms:W3CDTF">2015-09-21T04:32:00Z</dcterms:modified>
</cp:coreProperties>
</file>